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C75" w:rsidRPr="00913C75" w:rsidRDefault="009478B7" w:rsidP="00097143">
      <w:pPr>
        <w:pStyle w:val="Heading1"/>
        <w:jc w:val="both"/>
        <w:rPr>
          <w:rFonts w:ascii="Times New Roman" w:hAnsi="Times New Roman" w:cs="Times New Roman"/>
          <w:sz w:val="24"/>
          <w:szCs w:val="24"/>
        </w:rPr>
      </w:pPr>
      <w:r w:rsidRPr="00913C75">
        <w:rPr>
          <w:rFonts w:ascii="Times New Roman" w:hAnsi="Times New Roman" w:cs="Times New Roman"/>
          <w:sz w:val="24"/>
          <w:szCs w:val="24"/>
        </w:rPr>
        <w:t>Ponencia presentada por el dr. Efraín Pérez en Seminario Taller “</w:t>
      </w:r>
      <w:r w:rsidR="00913C75" w:rsidRPr="00913C75">
        <w:rPr>
          <w:rFonts w:ascii="Times New Roman" w:hAnsi="Times New Roman" w:cs="Times New Roman"/>
          <w:sz w:val="24"/>
          <w:szCs w:val="24"/>
        </w:rPr>
        <w:t>EL ARBITRAJE CON EL SECTOR PÚBLICO: UNA PERSPECTIVA CONTE</w:t>
      </w:r>
      <w:r w:rsidR="00913C75" w:rsidRPr="00913C75">
        <w:rPr>
          <w:rFonts w:ascii="Times New Roman" w:hAnsi="Times New Roman" w:cs="Times New Roman"/>
          <w:sz w:val="24"/>
          <w:szCs w:val="24"/>
        </w:rPr>
        <w:t>M</w:t>
      </w:r>
      <w:r w:rsidR="00913C75" w:rsidRPr="00913C75">
        <w:rPr>
          <w:rFonts w:ascii="Times New Roman" w:hAnsi="Times New Roman" w:cs="Times New Roman"/>
          <w:sz w:val="24"/>
          <w:szCs w:val="24"/>
        </w:rPr>
        <w:t>PORÁNEA”, presentada en Guayaquil el 20 de agosto de 2009</w:t>
      </w:r>
    </w:p>
    <w:p w:rsidR="009478B7" w:rsidRPr="00580377" w:rsidRDefault="00580377" w:rsidP="00580377">
      <w:pPr>
        <w:pStyle w:val="Heading2"/>
        <w:rPr>
          <w:szCs w:val="24"/>
        </w:rPr>
      </w:pPr>
      <w:r>
        <w:rPr>
          <w:szCs w:val="24"/>
        </w:rPr>
        <w:t xml:space="preserve">-Cámara de Comercio de Guayaquil </w:t>
      </w:r>
      <w:r w:rsidR="009C0B6E">
        <w:rPr>
          <w:szCs w:val="24"/>
        </w:rPr>
        <w:t>– Procuraduría General del Estado</w:t>
      </w:r>
    </w:p>
    <w:p w:rsidR="009478B7" w:rsidRPr="00913C75" w:rsidRDefault="009478B7" w:rsidP="00097143">
      <w:pPr>
        <w:pStyle w:val="Heading1"/>
        <w:jc w:val="both"/>
        <w:rPr>
          <w:rFonts w:ascii="Times New Roman" w:hAnsi="Times New Roman" w:cs="Times New Roman"/>
          <w:sz w:val="24"/>
          <w:szCs w:val="24"/>
        </w:rPr>
      </w:pPr>
    </w:p>
    <w:p w:rsidR="009916EF" w:rsidRPr="00913C75" w:rsidRDefault="009916EF" w:rsidP="00097143">
      <w:pPr>
        <w:pStyle w:val="Heading1"/>
        <w:jc w:val="both"/>
        <w:rPr>
          <w:rFonts w:ascii="Times New Roman" w:hAnsi="Times New Roman" w:cs="Times New Roman"/>
          <w:sz w:val="24"/>
          <w:szCs w:val="24"/>
          <w:lang w:val="es-EC"/>
        </w:rPr>
      </w:pPr>
      <w:r w:rsidRPr="00913C75">
        <w:rPr>
          <w:rFonts w:ascii="Times New Roman" w:hAnsi="Times New Roman" w:cs="Times New Roman"/>
          <w:sz w:val="24"/>
          <w:szCs w:val="24"/>
        </w:rPr>
        <w:t>Los actos administrativos en el arbitraje</w:t>
      </w:r>
    </w:p>
    <w:p w:rsidR="009916EF" w:rsidRPr="00913C75" w:rsidRDefault="009916EF" w:rsidP="00097143">
      <w:pPr>
        <w:jc w:val="both"/>
        <w:rPr>
          <w:rFonts w:ascii="Times New Roman" w:hAnsi="Times New Roman" w:cs="Times New Roman"/>
          <w:sz w:val="24"/>
          <w:szCs w:val="24"/>
          <w:lang w:val="es-EC"/>
        </w:rPr>
      </w:pPr>
    </w:p>
    <w:p w:rsidR="00F84D0A" w:rsidRPr="00913C75" w:rsidRDefault="00D72F19" w:rsidP="00097143">
      <w:pPr>
        <w:pStyle w:val="Heading2"/>
        <w:jc w:val="both"/>
        <w:rPr>
          <w:sz w:val="24"/>
          <w:szCs w:val="24"/>
        </w:rPr>
      </w:pPr>
      <w:r w:rsidRPr="00913C75">
        <w:rPr>
          <w:sz w:val="24"/>
          <w:szCs w:val="24"/>
        </w:rPr>
        <w:t xml:space="preserve">1. </w:t>
      </w:r>
      <w:r w:rsidR="00F84D0A" w:rsidRPr="00913C75">
        <w:rPr>
          <w:sz w:val="24"/>
          <w:szCs w:val="24"/>
        </w:rPr>
        <w:t>Principios constitucionales sobre el arbitraje</w:t>
      </w:r>
    </w:p>
    <w:p w:rsidR="00F84D0A" w:rsidRPr="00913C75" w:rsidRDefault="00F84D0A"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Los principios que se desprenden de los textos constitucionales son:</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1. Se puede pactar el arbitraje para toda clase de conflictos transigibles;</w:t>
      </w:r>
    </w:p>
    <w:p w:rsidR="000936FC" w:rsidRPr="00913C75" w:rsidRDefault="000936FC"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2. En la contratación pública solo cabe el arbitraje en derecho;</w:t>
      </w:r>
    </w:p>
    <w:p w:rsidR="000936FC" w:rsidRPr="00913C75" w:rsidRDefault="000936FC"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3. En contratación pública para la inclusión de la cláusula arbitral se requiere el “previo pronu</w:t>
      </w:r>
      <w:r w:rsidRPr="00913C75">
        <w:rPr>
          <w:rFonts w:ascii="Times New Roman" w:hAnsi="Times New Roman" w:cs="Times New Roman"/>
          <w:sz w:val="24"/>
          <w:szCs w:val="24"/>
          <w:lang w:val="es-EC"/>
        </w:rPr>
        <w:t>n</w:t>
      </w:r>
      <w:r w:rsidRPr="00913C75">
        <w:rPr>
          <w:rFonts w:ascii="Times New Roman" w:hAnsi="Times New Roman" w:cs="Times New Roman"/>
          <w:sz w:val="24"/>
          <w:szCs w:val="24"/>
          <w:lang w:val="es-EC"/>
        </w:rPr>
        <w:t>ciamiento favorable del Procurador General del Estado”;</w:t>
      </w:r>
    </w:p>
    <w:p w:rsidR="000936FC" w:rsidRPr="00913C75" w:rsidRDefault="000936FC"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4. Cabe la celebración de nuevos tratados o instrumentos internacionales que contemplen el arb</w:t>
      </w:r>
      <w:r w:rsidRPr="00913C75">
        <w:rPr>
          <w:rFonts w:ascii="Times New Roman" w:hAnsi="Times New Roman" w:cs="Times New Roman"/>
          <w:sz w:val="24"/>
          <w:szCs w:val="24"/>
          <w:lang w:val="es-EC"/>
        </w:rPr>
        <w:t>i</w:t>
      </w:r>
      <w:r w:rsidRPr="00913C75">
        <w:rPr>
          <w:rFonts w:ascii="Times New Roman" w:hAnsi="Times New Roman" w:cs="Times New Roman"/>
          <w:sz w:val="24"/>
          <w:szCs w:val="24"/>
          <w:lang w:val="es-EC"/>
        </w:rPr>
        <w:t>traje internacional entre “el Estado y ciudadanos” “en Latinoamérica por instancias arbitrales regionales o por órganos jurisdiccionales de designación de los países signatarios”;</w:t>
      </w:r>
    </w:p>
    <w:p w:rsidR="000936FC" w:rsidRPr="00913C75" w:rsidRDefault="000936FC"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5. El Estado ecuatoriano puede participar en arbitrajes con “ciudadanos” sobre controversias contractuales y de índole comercial;</w:t>
      </w:r>
    </w:p>
    <w:p w:rsidR="000936FC" w:rsidRPr="00913C75" w:rsidRDefault="000936FC"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6. Para controversias sobre deuda externa, procede el arbitraje “en función del origen de la de</w:t>
      </w:r>
      <w:r w:rsidRPr="00913C75">
        <w:rPr>
          <w:rFonts w:ascii="Times New Roman" w:hAnsi="Times New Roman" w:cs="Times New Roman"/>
          <w:sz w:val="24"/>
          <w:szCs w:val="24"/>
          <w:lang w:val="es-EC"/>
        </w:rPr>
        <w:t>u</w:t>
      </w:r>
      <w:r w:rsidRPr="00913C75">
        <w:rPr>
          <w:rFonts w:ascii="Times New Roman" w:hAnsi="Times New Roman" w:cs="Times New Roman"/>
          <w:sz w:val="24"/>
          <w:szCs w:val="24"/>
          <w:lang w:val="es-EC"/>
        </w:rPr>
        <w:t>da”, con sujeción “a principios de transparencia, equidad y justicia internacional”.</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El “conflicto transigible” es un concepto del Derecho Civil, pero también del Derecho Público que se discutirá más adelante.</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El requerimiento del arbitraje en derecho para los contratos públicos consta en la vigente Ley de Arbitraje y Mediación.</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En todo caso, la alusión a “contrato público” en el texto constitucional, no limita estas dispos</w:t>
      </w:r>
      <w:r w:rsidRPr="00913C75">
        <w:rPr>
          <w:rFonts w:ascii="Times New Roman" w:hAnsi="Times New Roman" w:cs="Times New Roman"/>
          <w:sz w:val="24"/>
          <w:szCs w:val="24"/>
          <w:lang w:val="es-EC"/>
        </w:rPr>
        <w:t>i</w:t>
      </w:r>
      <w:r w:rsidRPr="00913C75">
        <w:rPr>
          <w:rFonts w:ascii="Times New Roman" w:hAnsi="Times New Roman" w:cs="Times New Roman"/>
          <w:sz w:val="24"/>
          <w:szCs w:val="24"/>
          <w:lang w:val="es-EC"/>
        </w:rPr>
        <w:t>ciones sólo a los contratos celebrados conforme la Ley Orgánica del Sistema Nacional de Co</w:t>
      </w:r>
      <w:r w:rsidRPr="00913C75">
        <w:rPr>
          <w:rFonts w:ascii="Times New Roman" w:hAnsi="Times New Roman" w:cs="Times New Roman"/>
          <w:sz w:val="24"/>
          <w:szCs w:val="24"/>
          <w:lang w:val="es-EC"/>
        </w:rPr>
        <w:t>n</w:t>
      </w:r>
      <w:r w:rsidRPr="00913C75">
        <w:rPr>
          <w:rFonts w:ascii="Times New Roman" w:hAnsi="Times New Roman" w:cs="Times New Roman"/>
          <w:sz w:val="24"/>
          <w:szCs w:val="24"/>
          <w:lang w:val="es-EC"/>
        </w:rPr>
        <w:t>tratación Pública, sino a todos los contratos que celebren las instituciones de Derecho Público contemplados en otras leyes.</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La Ley de Arbitraje y Mediación se limita a regular el arbitraje en el ámbito contractual, en el campo de las controversias susceptibles de transacción. En el tema contractual el Estado no pu</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de someterse a un arbitraje en</w:t>
      </w:r>
      <w:r w:rsidRPr="00913C75">
        <w:rPr>
          <w:rFonts w:ascii="Times New Roman" w:hAnsi="Times New Roman" w:cs="Times New Roman"/>
          <w:i/>
          <w:sz w:val="24"/>
          <w:szCs w:val="24"/>
          <w:lang w:val="es-EC"/>
        </w:rPr>
        <w:t xml:space="preserve"> equidad</w:t>
      </w:r>
      <w:r w:rsidRPr="00913C75">
        <w:rPr>
          <w:rFonts w:ascii="Times New Roman" w:hAnsi="Times New Roman" w:cs="Times New Roman"/>
          <w:sz w:val="24"/>
          <w:szCs w:val="24"/>
          <w:lang w:val="es-EC"/>
        </w:rPr>
        <w:t xml:space="preserve">, sino solamente en </w:t>
      </w:r>
      <w:r w:rsidRPr="00913C75">
        <w:rPr>
          <w:rFonts w:ascii="Times New Roman" w:hAnsi="Times New Roman" w:cs="Times New Roman"/>
          <w:i/>
          <w:sz w:val="24"/>
          <w:szCs w:val="24"/>
          <w:lang w:val="es-EC"/>
        </w:rPr>
        <w:t>derecho</w:t>
      </w:r>
      <w:r w:rsidRPr="00913C75">
        <w:rPr>
          <w:rFonts w:ascii="Times New Roman" w:hAnsi="Times New Roman" w:cs="Times New Roman"/>
          <w:sz w:val="24"/>
          <w:szCs w:val="24"/>
          <w:lang w:val="es-EC"/>
        </w:rPr>
        <w:t>: “En la contratación pública procederá el arbitraje en derecho”</w:t>
      </w:r>
      <w:r w:rsidRPr="00913C75">
        <w:rPr>
          <w:rFonts w:ascii="Times New Roman" w:hAnsi="Times New Roman" w:cs="Times New Roman"/>
          <w:sz w:val="24"/>
          <w:szCs w:val="24"/>
          <w:vertAlign w:val="superscript"/>
          <w:lang w:val="es-EC"/>
        </w:rPr>
        <w:footnoteReference w:id="1"/>
      </w:r>
      <w:r w:rsidRPr="00913C75">
        <w:rPr>
          <w:rFonts w:ascii="Times New Roman" w:hAnsi="Times New Roman" w:cs="Times New Roman"/>
          <w:sz w:val="24"/>
          <w:szCs w:val="24"/>
          <w:lang w:val="es-EC"/>
        </w:rPr>
        <w:t>, pero la Corte Constitucional ha interpretado que en otros casos si procede el arbitraje en equidad</w:t>
      </w:r>
      <w:r w:rsidRPr="00913C75">
        <w:rPr>
          <w:rFonts w:ascii="Times New Roman" w:hAnsi="Times New Roman" w:cs="Times New Roman"/>
          <w:sz w:val="24"/>
          <w:szCs w:val="24"/>
          <w:vertAlign w:val="superscript"/>
          <w:lang w:val="es-EC"/>
        </w:rPr>
        <w:footnoteReference w:id="2"/>
      </w:r>
      <w:r w:rsidRPr="00913C75">
        <w:rPr>
          <w:rFonts w:ascii="Times New Roman" w:hAnsi="Times New Roman" w:cs="Times New Roman"/>
          <w:sz w:val="24"/>
          <w:szCs w:val="24"/>
          <w:lang w:val="es-EC"/>
        </w:rPr>
        <w:t xml:space="preserve">, específicamente en un contrato de préstamo con el </w:t>
      </w:r>
      <w:r w:rsidRPr="00913C75">
        <w:rPr>
          <w:rFonts w:ascii="Times New Roman" w:hAnsi="Times New Roman" w:cs="Times New Roman"/>
          <w:sz w:val="24"/>
          <w:szCs w:val="24"/>
          <w:lang w:val="es-EC"/>
        </w:rPr>
        <w:lastRenderedPageBreak/>
        <w:t>Banco Interamericano de Desarrollo. El argumento de la Corte Constitucional es que un contrato de préstamo no es una “contratación pública” y que la Constitución contempla la equidad para estos, por lo cual no aplica el texto constitucional ni resulta necesario el informe del Procurador General del Estado. Se sustenta en el texto constitucional que dispone:</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“En el caso de controversias relacionadas con la deuda externa, el Estado ecuatoriano promoverá soluciones arbitrales en función del origen de la deuda y con sujeción a los principios de transp</w:t>
      </w:r>
      <w:r w:rsidRPr="00913C75">
        <w:rPr>
          <w:rFonts w:ascii="Times New Roman" w:hAnsi="Times New Roman" w:cs="Times New Roman"/>
          <w:sz w:val="24"/>
          <w:szCs w:val="24"/>
          <w:lang w:val="es-EC"/>
        </w:rPr>
        <w:t>a</w:t>
      </w:r>
      <w:r w:rsidRPr="00913C75">
        <w:rPr>
          <w:rFonts w:ascii="Times New Roman" w:hAnsi="Times New Roman" w:cs="Times New Roman"/>
          <w:sz w:val="24"/>
          <w:szCs w:val="24"/>
          <w:lang w:val="es-EC"/>
        </w:rPr>
        <w:t>rencia, equidad y justicia internacional”</w:t>
      </w:r>
      <w:r w:rsidRPr="00913C75">
        <w:rPr>
          <w:rFonts w:ascii="Times New Roman" w:hAnsi="Times New Roman" w:cs="Times New Roman"/>
          <w:sz w:val="24"/>
          <w:szCs w:val="24"/>
          <w:vertAlign w:val="superscript"/>
          <w:lang w:val="es-EC"/>
        </w:rPr>
        <w:footnoteReference w:id="3"/>
      </w:r>
      <w:r w:rsidRPr="00913C75">
        <w:rPr>
          <w:rFonts w:ascii="Times New Roman" w:hAnsi="Times New Roman" w:cs="Times New Roman"/>
          <w:sz w:val="24"/>
          <w:szCs w:val="24"/>
          <w:lang w:val="es-EC"/>
        </w:rPr>
        <w:t>.</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No obstante esta interpretación, resulta evidente del texto constitucional que en toda materia co</w:t>
      </w:r>
      <w:r w:rsidRPr="00913C75">
        <w:rPr>
          <w:rFonts w:ascii="Times New Roman" w:hAnsi="Times New Roman" w:cs="Times New Roman"/>
          <w:sz w:val="24"/>
          <w:szCs w:val="24"/>
          <w:lang w:val="es-EC"/>
        </w:rPr>
        <w:t>n</w:t>
      </w:r>
      <w:r w:rsidRPr="00913C75">
        <w:rPr>
          <w:rFonts w:ascii="Times New Roman" w:hAnsi="Times New Roman" w:cs="Times New Roman"/>
          <w:sz w:val="24"/>
          <w:szCs w:val="24"/>
          <w:lang w:val="es-EC"/>
        </w:rPr>
        <w:t>tractual el Estado se podrá someter al arbitraje y que el enunciado de “contratación pública” no limita esta autorización solamente para los contratos sometidos a la Ley Orgánica del Sistema Nacional de Contratación Pública, sino a todos los contratos que celebran las instituciones públ</w:t>
      </w:r>
      <w:r w:rsidRPr="00913C75">
        <w:rPr>
          <w:rFonts w:ascii="Times New Roman" w:hAnsi="Times New Roman" w:cs="Times New Roman"/>
          <w:sz w:val="24"/>
          <w:szCs w:val="24"/>
          <w:lang w:val="es-EC"/>
        </w:rPr>
        <w:t>i</w:t>
      </w:r>
      <w:r w:rsidRPr="00913C75">
        <w:rPr>
          <w:rFonts w:ascii="Times New Roman" w:hAnsi="Times New Roman" w:cs="Times New Roman"/>
          <w:sz w:val="24"/>
          <w:szCs w:val="24"/>
          <w:lang w:val="es-EC"/>
        </w:rPr>
        <w:t>cas, es decir todos aquellos citados en esta obra en el capítulo sobre la “contratación del Estado”.</w:t>
      </w:r>
    </w:p>
    <w:p w:rsidR="009916EF" w:rsidRPr="00913C75" w:rsidRDefault="009916EF" w:rsidP="00097143">
      <w:pPr>
        <w:jc w:val="both"/>
        <w:rPr>
          <w:rFonts w:ascii="Times New Roman" w:hAnsi="Times New Roman" w:cs="Times New Roman"/>
          <w:sz w:val="24"/>
          <w:szCs w:val="24"/>
          <w:lang w:val="es-EC"/>
        </w:rPr>
      </w:pPr>
    </w:p>
    <w:p w:rsidR="009916EF" w:rsidRPr="00913C75" w:rsidRDefault="00D72F19" w:rsidP="00097143">
      <w:pPr>
        <w:pStyle w:val="Heading2"/>
        <w:jc w:val="both"/>
        <w:rPr>
          <w:sz w:val="24"/>
          <w:szCs w:val="24"/>
        </w:rPr>
      </w:pPr>
      <w:r w:rsidRPr="00913C75">
        <w:rPr>
          <w:sz w:val="24"/>
          <w:szCs w:val="24"/>
        </w:rPr>
        <w:t xml:space="preserve">2. </w:t>
      </w:r>
      <w:r w:rsidR="009916EF" w:rsidRPr="00913C75">
        <w:rPr>
          <w:sz w:val="24"/>
          <w:szCs w:val="24"/>
        </w:rPr>
        <w:t>Objeto del arbitraje en las instituciones públicas</w:t>
      </w:r>
    </w:p>
    <w:p w:rsidR="009916EF" w:rsidRPr="00913C75" w:rsidRDefault="009916EF" w:rsidP="00097143">
      <w:pPr>
        <w:jc w:val="both"/>
        <w:rPr>
          <w:rFonts w:ascii="Times New Roman" w:hAnsi="Times New Roman" w:cs="Times New Roman"/>
          <w:sz w:val="24"/>
          <w:szCs w:val="24"/>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Como se ha visto, según la Ley de Arbitraje y Mediación, el Estado y sus entidades están limit</w:t>
      </w:r>
      <w:r w:rsidRPr="00913C75">
        <w:rPr>
          <w:rFonts w:ascii="Times New Roman" w:hAnsi="Times New Roman" w:cs="Times New Roman"/>
          <w:sz w:val="24"/>
          <w:szCs w:val="24"/>
          <w:lang w:val="es-EC"/>
        </w:rPr>
        <w:t>a</w:t>
      </w:r>
      <w:r w:rsidRPr="00913C75">
        <w:rPr>
          <w:rFonts w:ascii="Times New Roman" w:hAnsi="Times New Roman" w:cs="Times New Roman"/>
          <w:sz w:val="24"/>
          <w:szCs w:val="24"/>
          <w:lang w:val="es-EC"/>
        </w:rPr>
        <w:t>das a someterse al arbitraje solamente para relaciones jurídicas de carácter contractual</w:t>
      </w:r>
      <w:r w:rsidRPr="00913C75">
        <w:rPr>
          <w:rFonts w:ascii="Times New Roman" w:hAnsi="Times New Roman" w:cs="Times New Roman"/>
          <w:sz w:val="24"/>
          <w:szCs w:val="24"/>
          <w:vertAlign w:val="superscript"/>
          <w:lang w:val="es-EC"/>
        </w:rPr>
        <w:footnoteReference w:id="4"/>
      </w:r>
      <w:r w:rsidRPr="00913C75">
        <w:rPr>
          <w:rFonts w:ascii="Times New Roman" w:hAnsi="Times New Roman" w:cs="Times New Roman"/>
          <w:sz w:val="24"/>
          <w:szCs w:val="24"/>
          <w:lang w:val="es-EC"/>
        </w:rPr>
        <w:t xml:space="preserve"> y dentro de esta el arbitraje puede versar solamente sobre “las controversias susceptibles de transacción”. También corresponde el arbitraje sobre contratos de inversión, conforme la Ley de Promoción y Garantía de las Inversiones. No obstante esta limitación para el arbitraje en que intervengan el Estado o sus entidades, impuesta por la Ley de Arbitraje, existen otras leyes vigentes que se han citado y podrían otras expedirse en el futuro, que extienden el ámbito del arbitraje a otros temas, además de los contractuales, como se discutió al principio de este capítulo.</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Las controversias que el Estado y sus entidades pueden someter al arbitraje son aquellas que su</w:t>
      </w:r>
      <w:r w:rsidRPr="00913C75">
        <w:rPr>
          <w:rFonts w:ascii="Times New Roman" w:hAnsi="Times New Roman" w:cs="Times New Roman"/>
          <w:sz w:val="24"/>
          <w:szCs w:val="24"/>
          <w:lang w:val="es-EC"/>
        </w:rPr>
        <w:t>r</w:t>
      </w:r>
      <w:r w:rsidRPr="00913C75">
        <w:rPr>
          <w:rFonts w:ascii="Times New Roman" w:hAnsi="Times New Roman" w:cs="Times New Roman"/>
          <w:sz w:val="24"/>
          <w:szCs w:val="24"/>
          <w:lang w:val="es-EC"/>
        </w:rPr>
        <w:t>jan de una relación contractual. Esta delimitación excluiría del arbitraje las diferencias que pu</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dan surgir de una decisión unilateral del Estado, como la adjudicación de concesión minera, co</w:t>
      </w:r>
      <w:r w:rsidRPr="00913C75">
        <w:rPr>
          <w:rFonts w:ascii="Times New Roman" w:hAnsi="Times New Roman" w:cs="Times New Roman"/>
          <w:sz w:val="24"/>
          <w:szCs w:val="24"/>
          <w:lang w:val="es-EC"/>
        </w:rPr>
        <w:t>n</w:t>
      </w:r>
      <w:r w:rsidRPr="00913C75">
        <w:rPr>
          <w:rFonts w:ascii="Times New Roman" w:hAnsi="Times New Roman" w:cs="Times New Roman"/>
          <w:sz w:val="24"/>
          <w:szCs w:val="24"/>
          <w:lang w:val="es-EC"/>
        </w:rPr>
        <w:t xml:space="preserve">templada en la Ley de Minería, figura que debe distinguirse del contrato de concesión. </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Tampoco sería aplicable el arbitraje a los conflictos entre las instituciones públicas y sus funci</w:t>
      </w:r>
      <w:r w:rsidRPr="00913C75">
        <w:rPr>
          <w:rFonts w:ascii="Times New Roman" w:hAnsi="Times New Roman" w:cs="Times New Roman"/>
          <w:sz w:val="24"/>
          <w:szCs w:val="24"/>
          <w:lang w:val="es-EC"/>
        </w:rPr>
        <w:t>o</w:t>
      </w:r>
      <w:r w:rsidRPr="00913C75">
        <w:rPr>
          <w:rFonts w:ascii="Times New Roman" w:hAnsi="Times New Roman" w:cs="Times New Roman"/>
          <w:sz w:val="24"/>
          <w:szCs w:val="24"/>
          <w:lang w:val="es-EC"/>
        </w:rPr>
        <w:t>narios, porque el “nombramiento” de la función pública en el Ecuador no se sustenta en un co</w:t>
      </w:r>
      <w:r w:rsidRPr="00913C75">
        <w:rPr>
          <w:rFonts w:ascii="Times New Roman" w:hAnsi="Times New Roman" w:cs="Times New Roman"/>
          <w:sz w:val="24"/>
          <w:szCs w:val="24"/>
          <w:lang w:val="es-EC"/>
        </w:rPr>
        <w:t>n</w:t>
      </w:r>
      <w:r w:rsidRPr="00913C75">
        <w:rPr>
          <w:rFonts w:ascii="Times New Roman" w:hAnsi="Times New Roman" w:cs="Times New Roman"/>
          <w:sz w:val="24"/>
          <w:szCs w:val="24"/>
          <w:lang w:val="es-EC"/>
        </w:rPr>
        <w:t>trato sino que consiste en un acto unilateral de la administración, que otorga el “nombramiento” al funcionario público, es decir, que carece de naturaleza contractual. En cambio, las controve</w:t>
      </w:r>
      <w:r w:rsidRPr="00913C75">
        <w:rPr>
          <w:rFonts w:ascii="Times New Roman" w:hAnsi="Times New Roman" w:cs="Times New Roman"/>
          <w:sz w:val="24"/>
          <w:szCs w:val="24"/>
          <w:lang w:val="es-EC"/>
        </w:rPr>
        <w:t>r</w:t>
      </w:r>
      <w:r w:rsidRPr="00913C75">
        <w:rPr>
          <w:rFonts w:ascii="Times New Roman" w:hAnsi="Times New Roman" w:cs="Times New Roman"/>
          <w:sz w:val="24"/>
          <w:szCs w:val="24"/>
          <w:lang w:val="es-EC"/>
        </w:rPr>
        <w:t>sias sobre el cumplimiento de “contratos” sujetos a la LOSCCA sí serían susceptibles de som</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terse al arbitraje.</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Cabría discutir si puede someterse al arbitraje el conflicto sobre la responsabilidad extracontra</w:t>
      </w:r>
      <w:r w:rsidRPr="00913C75">
        <w:rPr>
          <w:rFonts w:ascii="Times New Roman" w:hAnsi="Times New Roman" w:cs="Times New Roman"/>
          <w:sz w:val="24"/>
          <w:szCs w:val="24"/>
          <w:lang w:val="es-EC"/>
        </w:rPr>
        <w:t>c</w:t>
      </w:r>
      <w:r w:rsidRPr="00913C75">
        <w:rPr>
          <w:rFonts w:ascii="Times New Roman" w:hAnsi="Times New Roman" w:cs="Times New Roman"/>
          <w:sz w:val="24"/>
          <w:szCs w:val="24"/>
          <w:lang w:val="es-EC"/>
        </w:rPr>
        <w:t>tual del Estado establecida en la Norma Suprema</w:t>
      </w:r>
      <w:r w:rsidRPr="00913C75">
        <w:rPr>
          <w:rFonts w:ascii="Times New Roman" w:hAnsi="Times New Roman" w:cs="Times New Roman"/>
          <w:sz w:val="24"/>
          <w:szCs w:val="24"/>
          <w:vertAlign w:val="superscript"/>
          <w:lang w:val="es-EC"/>
        </w:rPr>
        <w:footnoteReference w:id="5"/>
      </w:r>
      <w:r w:rsidRPr="00913C75">
        <w:rPr>
          <w:rFonts w:ascii="Times New Roman" w:hAnsi="Times New Roman" w:cs="Times New Roman"/>
          <w:sz w:val="24"/>
          <w:szCs w:val="24"/>
          <w:lang w:val="es-EC"/>
        </w:rPr>
        <w:t>, tomando en cuenta que el arbitraje procede en temas contractuales y este se trata precisamente de una situación extracontractual.</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lastRenderedPageBreak/>
        <w:t>Tampoco serían arbitrables las controversias sobre figuras del delito y cuasidelito, puesto que ellos no pueden imputarse al Estado, aunque sí a sus órganos personales, en circunstancias d</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terminadas.</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Es extensa la normativa de Derecho Público aplicable a contratos del Estado, no limitándose estos a los contenidos en la Ley Orgánica del Sistema Nacional de Contratación Pública, como se ha visto, aunque estos son indudablemente los más importantes.</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Debe tomarse en cuenta que la Constitución enumera como “servicios públicos” los de “agua potable y de riego, saneamiento, energía eléctrica, telecomunicaciones, vialidad, infraestructuras portuarias y aeroportuarias”, sin considerarse esta una lista exhaustiva “y los demás que determ</w:t>
      </w:r>
      <w:r w:rsidRPr="00913C75">
        <w:rPr>
          <w:rFonts w:ascii="Times New Roman" w:hAnsi="Times New Roman" w:cs="Times New Roman"/>
          <w:sz w:val="24"/>
          <w:szCs w:val="24"/>
          <w:lang w:val="es-EC"/>
        </w:rPr>
        <w:t>i</w:t>
      </w:r>
      <w:r w:rsidRPr="00913C75">
        <w:rPr>
          <w:rFonts w:ascii="Times New Roman" w:hAnsi="Times New Roman" w:cs="Times New Roman"/>
          <w:sz w:val="24"/>
          <w:szCs w:val="24"/>
          <w:lang w:val="es-EC"/>
        </w:rPr>
        <w:t>ne la ley”</w:t>
      </w:r>
      <w:r w:rsidRPr="00913C75">
        <w:rPr>
          <w:rFonts w:ascii="Times New Roman" w:hAnsi="Times New Roman" w:cs="Times New Roman"/>
          <w:sz w:val="24"/>
          <w:szCs w:val="24"/>
          <w:vertAlign w:val="superscript"/>
          <w:lang w:val="es-EC"/>
        </w:rPr>
        <w:footnoteReference w:id="6"/>
      </w:r>
      <w:r w:rsidRPr="00913C75">
        <w:rPr>
          <w:rFonts w:ascii="Times New Roman" w:hAnsi="Times New Roman" w:cs="Times New Roman"/>
          <w:sz w:val="24"/>
          <w:szCs w:val="24"/>
          <w:lang w:val="es-EC"/>
        </w:rPr>
        <w:t>. Estos servicios públicos, con excepción del agua, así como el aprovechamiento de “sectores estratégicos”, según la Constitución pueden ser prestados por empresas particulares o mixtas, aunque sea en forma excepcional, bajo diferentes figuras contractuales de delegación</w:t>
      </w:r>
      <w:r w:rsidRPr="00913C75">
        <w:rPr>
          <w:rFonts w:ascii="Times New Roman" w:hAnsi="Times New Roman" w:cs="Times New Roman"/>
          <w:sz w:val="24"/>
          <w:szCs w:val="24"/>
          <w:vertAlign w:val="superscript"/>
          <w:lang w:val="es-EC"/>
        </w:rPr>
        <w:footnoteReference w:id="7"/>
      </w:r>
      <w:r w:rsidRPr="00913C75">
        <w:rPr>
          <w:rFonts w:ascii="Times New Roman" w:hAnsi="Times New Roman" w:cs="Times New Roman"/>
          <w:sz w:val="24"/>
          <w:szCs w:val="24"/>
          <w:vertAlign w:val="superscript"/>
          <w:lang w:val="es-EC"/>
        </w:rPr>
        <w:t xml:space="preserve"> </w:t>
      </w:r>
      <w:r w:rsidRPr="00913C75">
        <w:rPr>
          <w:rFonts w:ascii="Times New Roman" w:hAnsi="Times New Roman" w:cs="Times New Roman"/>
          <w:sz w:val="24"/>
          <w:szCs w:val="24"/>
          <w:lang w:val="es-EC"/>
        </w:rPr>
        <w:t>y, por lo tanto, susceptibles de someterse al arbitraje.</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 xml:space="preserve"> Otros contratos públicos regulados por diferentes normas ecuatorianas, que se han discutido en otro capítulo de esta obra son: seguros, empréstitos bancarios, cuentas corrientes, colocación provisional de fondos en el sistema financiero nacional, aprovechamiento forestal, comodato, donación, etc.</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Finalmente, se considera que los conflictos en el campo de los llamados cuasi-contratos admini</w:t>
      </w:r>
      <w:r w:rsidRPr="00913C75">
        <w:rPr>
          <w:rFonts w:ascii="Times New Roman" w:hAnsi="Times New Roman" w:cs="Times New Roman"/>
          <w:sz w:val="24"/>
          <w:szCs w:val="24"/>
          <w:lang w:val="es-EC"/>
        </w:rPr>
        <w:t>s</w:t>
      </w:r>
      <w:r w:rsidRPr="00913C75">
        <w:rPr>
          <w:rFonts w:ascii="Times New Roman" w:hAnsi="Times New Roman" w:cs="Times New Roman"/>
          <w:sz w:val="24"/>
          <w:szCs w:val="24"/>
          <w:lang w:val="es-EC"/>
        </w:rPr>
        <w:t>trativos, más apropiadamente “enriquecimiento sin causa” del Estado y sus entidades, son su</w:t>
      </w:r>
      <w:r w:rsidRPr="00913C75">
        <w:rPr>
          <w:rFonts w:ascii="Times New Roman" w:hAnsi="Times New Roman" w:cs="Times New Roman"/>
          <w:sz w:val="24"/>
          <w:szCs w:val="24"/>
          <w:lang w:val="es-EC"/>
        </w:rPr>
        <w:t>s</w:t>
      </w:r>
      <w:r w:rsidRPr="00913C75">
        <w:rPr>
          <w:rFonts w:ascii="Times New Roman" w:hAnsi="Times New Roman" w:cs="Times New Roman"/>
          <w:sz w:val="24"/>
          <w:szCs w:val="24"/>
          <w:lang w:val="es-EC"/>
        </w:rPr>
        <w:t>ceptibles de sometimiento al arbitraje, acorde con lo dispuesto por el artículo 57 de la Ley Org</w:t>
      </w:r>
      <w:r w:rsidRPr="00913C75">
        <w:rPr>
          <w:rFonts w:ascii="Times New Roman" w:hAnsi="Times New Roman" w:cs="Times New Roman"/>
          <w:sz w:val="24"/>
          <w:szCs w:val="24"/>
          <w:lang w:val="es-EC"/>
        </w:rPr>
        <w:t>á</w:t>
      </w:r>
      <w:r w:rsidRPr="00913C75">
        <w:rPr>
          <w:rFonts w:ascii="Times New Roman" w:hAnsi="Times New Roman" w:cs="Times New Roman"/>
          <w:sz w:val="24"/>
          <w:szCs w:val="24"/>
          <w:lang w:val="es-EC"/>
        </w:rPr>
        <w:t>nica de Administración Financiera y Control.</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En efecto, el artículo 57 de la LOAFYC señala como antecedentes de esta figura las órdenes de autoridad competente y la recepción de obras, bienes o servicios, situaciones todas ellas de man</w:t>
      </w:r>
      <w:r w:rsidRPr="00913C75">
        <w:rPr>
          <w:rFonts w:ascii="Times New Roman" w:hAnsi="Times New Roman" w:cs="Times New Roman"/>
          <w:sz w:val="24"/>
          <w:szCs w:val="24"/>
          <w:lang w:val="es-EC"/>
        </w:rPr>
        <w:t>i</w:t>
      </w:r>
      <w:r w:rsidRPr="00913C75">
        <w:rPr>
          <w:rFonts w:ascii="Times New Roman" w:hAnsi="Times New Roman" w:cs="Times New Roman"/>
          <w:sz w:val="24"/>
          <w:szCs w:val="24"/>
          <w:lang w:val="es-EC"/>
        </w:rPr>
        <w:t>festación consensual, suficientes en la doctrina para establecer una relación contractual -acuerdo de voluntades, expreso o tácito- aunque de forma irregular en el Derecho Público.</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bookmarkStart w:id="0" w:name="_Toc472790281"/>
      <w:r w:rsidRPr="00913C75">
        <w:rPr>
          <w:rFonts w:ascii="Times New Roman" w:hAnsi="Times New Roman" w:cs="Times New Roman"/>
          <w:sz w:val="24"/>
          <w:szCs w:val="24"/>
          <w:lang w:val="es-EC"/>
        </w:rPr>
        <w:t>Cuestiones que el Estado y las entidades públicas pueden someter al arbitraje</w:t>
      </w:r>
      <w:bookmarkEnd w:id="0"/>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La Ley de Arbitraje y Mediación dice que se pueden someter al arbitraje “las controversias su</w:t>
      </w:r>
      <w:r w:rsidRPr="00913C75">
        <w:rPr>
          <w:rFonts w:ascii="Times New Roman" w:hAnsi="Times New Roman" w:cs="Times New Roman"/>
          <w:sz w:val="24"/>
          <w:szCs w:val="24"/>
          <w:lang w:val="es-EC"/>
        </w:rPr>
        <w:t>s</w:t>
      </w:r>
      <w:r w:rsidRPr="00913C75">
        <w:rPr>
          <w:rFonts w:ascii="Times New Roman" w:hAnsi="Times New Roman" w:cs="Times New Roman"/>
          <w:sz w:val="24"/>
          <w:szCs w:val="24"/>
          <w:lang w:val="es-EC"/>
        </w:rPr>
        <w:t>ceptibles de transacción”</w:t>
      </w:r>
      <w:r w:rsidRPr="00913C75">
        <w:rPr>
          <w:rFonts w:ascii="Times New Roman" w:hAnsi="Times New Roman" w:cs="Times New Roman"/>
          <w:sz w:val="24"/>
          <w:szCs w:val="24"/>
          <w:vertAlign w:val="superscript"/>
          <w:lang w:val="es-EC"/>
        </w:rPr>
        <w:footnoteReference w:id="8"/>
      </w:r>
      <w:r w:rsidRPr="00913C75">
        <w:rPr>
          <w:rFonts w:ascii="Times New Roman" w:hAnsi="Times New Roman" w:cs="Times New Roman"/>
          <w:sz w:val="24"/>
          <w:szCs w:val="24"/>
          <w:lang w:val="es-EC"/>
        </w:rPr>
        <w:t>, por lo que se encuentran automáticamente excluidas para las instit</w:t>
      </w:r>
      <w:r w:rsidRPr="00913C75">
        <w:rPr>
          <w:rFonts w:ascii="Times New Roman" w:hAnsi="Times New Roman" w:cs="Times New Roman"/>
          <w:sz w:val="24"/>
          <w:szCs w:val="24"/>
          <w:lang w:val="es-EC"/>
        </w:rPr>
        <w:t>u</w:t>
      </w:r>
      <w:r w:rsidRPr="00913C75">
        <w:rPr>
          <w:rFonts w:ascii="Times New Roman" w:hAnsi="Times New Roman" w:cs="Times New Roman"/>
          <w:sz w:val="24"/>
          <w:szCs w:val="24"/>
          <w:lang w:val="es-EC"/>
        </w:rPr>
        <w:t>ciones públicas las mismas exclusiones que se hacen para las transacciones en el derecho priv</w:t>
      </w:r>
      <w:r w:rsidRPr="00913C75">
        <w:rPr>
          <w:rFonts w:ascii="Times New Roman" w:hAnsi="Times New Roman" w:cs="Times New Roman"/>
          <w:sz w:val="24"/>
          <w:szCs w:val="24"/>
          <w:lang w:val="es-EC"/>
        </w:rPr>
        <w:t>a</w:t>
      </w:r>
      <w:r w:rsidRPr="00913C75">
        <w:rPr>
          <w:rFonts w:ascii="Times New Roman" w:hAnsi="Times New Roman" w:cs="Times New Roman"/>
          <w:sz w:val="24"/>
          <w:szCs w:val="24"/>
          <w:lang w:val="es-EC"/>
        </w:rPr>
        <w:t>do. Así no cabe transacción sobre: los derechos que no se disputan y sobre derechos ajenos o derechos que no existen. En cambio, existen determinadas exclusiones a la transacción que no son aplicables a las personas de derecho público como son el tema de “la acción civil que nace de delito”, sobre el “estado civil” y sobre “alimentos futuros”</w:t>
      </w:r>
      <w:r w:rsidRPr="00913C75">
        <w:rPr>
          <w:rFonts w:ascii="Times New Roman" w:hAnsi="Times New Roman" w:cs="Times New Roman"/>
          <w:sz w:val="24"/>
          <w:szCs w:val="24"/>
          <w:vertAlign w:val="superscript"/>
          <w:lang w:val="es-EC"/>
        </w:rPr>
        <w:footnoteReference w:id="9"/>
      </w:r>
      <w:r w:rsidRPr="00913C75">
        <w:rPr>
          <w:rFonts w:ascii="Times New Roman" w:hAnsi="Times New Roman" w:cs="Times New Roman"/>
          <w:sz w:val="24"/>
          <w:szCs w:val="24"/>
          <w:lang w:val="es-EC"/>
        </w:rPr>
        <w:t>, por ser inaplicables al Estado y sus entidades.</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S_tradnl"/>
        </w:rPr>
      </w:pPr>
      <w:r w:rsidRPr="00913C75">
        <w:rPr>
          <w:rFonts w:ascii="Times New Roman" w:hAnsi="Times New Roman" w:cs="Times New Roman"/>
          <w:sz w:val="24"/>
          <w:szCs w:val="24"/>
          <w:lang w:val="es-ES_tradnl"/>
        </w:rPr>
        <w:t xml:space="preserve">Según </w:t>
      </w:r>
      <w:r w:rsidRPr="00913C75">
        <w:rPr>
          <w:rFonts w:ascii="Times New Roman" w:hAnsi="Times New Roman" w:cs="Times New Roman"/>
          <w:bCs/>
          <w:sz w:val="24"/>
          <w:szCs w:val="24"/>
          <w:lang w:val="es-ES_tradnl"/>
        </w:rPr>
        <w:t xml:space="preserve">Marienhoff </w:t>
      </w:r>
      <w:r w:rsidRPr="00913C75">
        <w:rPr>
          <w:rFonts w:ascii="Times New Roman" w:hAnsi="Times New Roman" w:cs="Times New Roman"/>
          <w:sz w:val="24"/>
          <w:szCs w:val="24"/>
          <w:lang w:val="es-ES_tradnl"/>
        </w:rPr>
        <w:t>“[e]l único límite positivo que tiene el Poder Ejecutivo (“Estado”) para transar -sea que actúe en el campo del derecho privado (contratos de derecho “común”) o en el ámbito del derecho público (contratos “administrativos”, propiamente dichos)- es el respeto a las normas y principios de la Constitución Nacional</w:t>
      </w:r>
      <w:r w:rsidRPr="00913C75">
        <w:rPr>
          <w:rFonts w:ascii="Times New Roman" w:hAnsi="Times New Roman" w:cs="Times New Roman"/>
          <w:sz w:val="24"/>
          <w:szCs w:val="24"/>
          <w:vertAlign w:val="superscript"/>
          <w:lang w:val="es-EC"/>
        </w:rPr>
        <w:footnoteReference w:id="10"/>
      </w:r>
      <w:r w:rsidRPr="00913C75">
        <w:rPr>
          <w:rFonts w:ascii="Times New Roman" w:hAnsi="Times New Roman" w:cs="Times New Roman"/>
          <w:sz w:val="24"/>
          <w:szCs w:val="24"/>
          <w:lang w:val="es-ES_tradnl"/>
        </w:rPr>
        <w:t>.</w:t>
      </w:r>
    </w:p>
    <w:p w:rsidR="009916EF" w:rsidRPr="00913C75" w:rsidRDefault="009916EF" w:rsidP="00097143">
      <w:pPr>
        <w:jc w:val="both"/>
        <w:rPr>
          <w:rFonts w:ascii="Times New Roman" w:hAnsi="Times New Roman" w:cs="Times New Roman"/>
          <w:sz w:val="24"/>
          <w:szCs w:val="24"/>
          <w:lang w:val="es-ES_tradnl"/>
        </w:rPr>
      </w:pPr>
    </w:p>
    <w:p w:rsidR="009916EF" w:rsidRPr="00913C75" w:rsidRDefault="009916EF" w:rsidP="00097143">
      <w:pPr>
        <w:jc w:val="both"/>
        <w:rPr>
          <w:rFonts w:ascii="Times New Roman" w:hAnsi="Times New Roman" w:cs="Times New Roman"/>
          <w:sz w:val="24"/>
          <w:szCs w:val="24"/>
          <w:lang w:val="es-ES_tradnl"/>
        </w:rPr>
      </w:pPr>
      <w:r w:rsidRPr="00913C75">
        <w:rPr>
          <w:rFonts w:ascii="Times New Roman" w:hAnsi="Times New Roman" w:cs="Times New Roman"/>
          <w:sz w:val="24"/>
          <w:szCs w:val="24"/>
          <w:lang w:val="es-ES_tradnl"/>
        </w:rPr>
        <w:t>No obstante de lo acertado de este criterio, hay que matizarlo para su aplicación al Derecho Público ecuatoriano recordando que ni la legislación ni la doctrina en Ecuador autorizan a est</w:t>
      </w:r>
      <w:r w:rsidRPr="00913C75">
        <w:rPr>
          <w:rFonts w:ascii="Times New Roman" w:hAnsi="Times New Roman" w:cs="Times New Roman"/>
          <w:sz w:val="24"/>
          <w:szCs w:val="24"/>
          <w:lang w:val="es-ES_tradnl"/>
        </w:rPr>
        <w:t>a</w:t>
      </w:r>
      <w:r w:rsidRPr="00913C75">
        <w:rPr>
          <w:rFonts w:ascii="Times New Roman" w:hAnsi="Times New Roman" w:cs="Times New Roman"/>
          <w:sz w:val="24"/>
          <w:szCs w:val="24"/>
          <w:lang w:val="es-ES_tradnl"/>
        </w:rPr>
        <w:t>blecer esta distinción entre contratos públicos y contratos privados de la Administración Pública.</w:t>
      </w:r>
    </w:p>
    <w:p w:rsidR="009916EF" w:rsidRPr="00913C75" w:rsidRDefault="009916EF" w:rsidP="00097143">
      <w:pPr>
        <w:jc w:val="both"/>
        <w:rPr>
          <w:rFonts w:ascii="Times New Roman" w:hAnsi="Times New Roman" w:cs="Times New Roman"/>
          <w:sz w:val="24"/>
          <w:szCs w:val="24"/>
          <w:lang w:val="es-ES_tradnl"/>
        </w:rPr>
      </w:pPr>
    </w:p>
    <w:p w:rsidR="009916EF" w:rsidRPr="00913C75" w:rsidRDefault="009916EF" w:rsidP="00097143">
      <w:pPr>
        <w:jc w:val="both"/>
        <w:rPr>
          <w:rFonts w:ascii="Times New Roman" w:hAnsi="Times New Roman" w:cs="Times New Roman"/>
          <w:sz w:val="24"/>
          <w:szCs w:val="24"/>
          <w:lang w:val="es-ES_tradnl"/>
        </w:rPr>
      </w:pPr>
      <w:r w:rsidRPr="00913C75">
        <w:rPr>
          <w:rFonts w:ascii="Times New Roman" w:hAnsi="Times New Roman" w:cs="Times New Roman"/>
          <w:sz w:val="24"/>
          <w:szCs w:val="24"/>
          <w:lang w:val="es-ES_tradnl"/>
        </w:rPr>
        <w:t xml:space="preserve">Ya entrando en el campo especifico del arbitraje en el Derecho Público interno, </w:t>
      </w:r>
      <w:r w:rsidRPr="00913C75">
        <w:rPr>
          <w:rFonts w:ascii="Times New Roman" w:hAnsi="Times New Roman" w:cs="Times New Roman"/>
          <w:bCs/>
          <w:sz w:val="24"/>
          <w:szCs w:val="24"/>
          <w:lang w:val="es-ES_tradnl"/>
        </w:rPr>
        <w:t>Dromi</w:t>
      </w:r>
      <w:r w:rsidRPr="00913C75">
        <w:rPr>
          <w:rFonts w:ascii="Times New Roman" w:hAnsi="Times New Roman" w:cs="Times New Roman"/>
          <w:sz w:val="24"/>
          <w:szCs w:val="24"/>
          <w:lang w:val="es-ES_tradnl"/>
        </w:rPr>
        <w:t xml:space="preserve"> afirma como principio general que “[e]n los contratos administrativos cabe el arbitraje como excepción y con carácter restrictivo, en los casos en que las cuestiones a dilucidar no afecten ni al orden público, ni al orden constitucional, ni agravien a la autoridad del Estado o a su soberanía (…) los árbitros </w:t>
      </w:r>
      <w:r w:rsidRPr="00913C75">
        <w:rPr>
          <w:rFonts w:ascii="Times New Roman" w:hAnsi="Times New Roman" w:cs="Times New Roman"/>
          <w:i/>
          <w:sz w:val="24"/>
          <w:szCs w:val="24"/>
          <w:lang w:val="es-EC"/>
        </w:rPr>
        <w:t>iuris</w:t>
      </w:r>
      <w:r w:rsidRPr="00913C75">
        <w:rPr>
          <w:rFonts w:ascii="Times New Roman" w:hAnsi="Times New Roman" w:cs="Times New Roman"/>
          <w:i/>
          <w:sz w:val="24"/>
          <w:szCs w:val="24"/>
          <w:lang w:val="es-ES_tradnl"/>
        </w:rPr>
        <w:t xml:space="preserve"> </w:t>
      </w:r>
      <w:r w:rsidRPr="00913C75">
        <w:rPr>
          <w:rFonts w:ascii="Times New Roman" w:hAnsi="Times New Roman" w:cs="Times New Roman"/>
          <w:sz w:val="24"/>
          <w:szCs w:val="24"/>
          <w:lang w:val="es-ES_tradnl"/>
        </w:rPr>
        <w:t>no pueden tomar decisiones que impliquen ejercicio de prerrogativas de la Adm</w:t>
      </w:r>
      <w:r w:rsidRPr="00913C75">
        <w:rPr>
          <w:rFonts w:ascii="Times New Roman" w:hAnsi="Times New Roman" w:cs="Times New Roman"/>
          <w:sz w:val="24"/>
          <w:szCs w:val="24"/>
          <w:lang w:val="es-ES_tradnl"/>
        </w:rPr>
        <w:t>i</w:t>
      </w:r>
      <w:r w:rsidRPr="00913C75">
        <w:rPr>
          <w:rFonts w:ascii="Times New Roman" w:hAnsi="Times New Roman" w:cs="Times New Roman"/>
          <w:sz w:val="24"/>
          <w:szCs w:val="24"/>
          <w:lang w:val="es-ES_tradnl"/>
        </w:rPr>
        <w:t>nistración Pública o de funciones esenciales del Estado”</w:t>
      </w:r>
      <w:r w:rsidRPr="00913C75">
        <w:rPr>
          <w:rFonts w:ascii="Times New Roman" w:hAnsi="Times New Roman" w:cs="Times New Roman"/>
          <w:sz w:val="24"/>
          <w:szCs w:val="24"/>
          <w:vertAlign w:val="superscript"/>
          <w:lang w:val="es-ES_tradnl"/>
        </w:rPr>
        <w:footnoteReference w:id="11"/>
      </w:r>
      <w:r w:rsidRPr="00913C75">
        <w:rPr>
          <w:rFonts w:ascii="Times New Roman" w:hAnsi="Times New Roman" w:cs="Times New Roman"/>
          <w:sz w:val="24"/>
          <w:szCs w:val="24"/>
          <w:lang w:val="es-ES_tradnl"/>
        </w:rPr>
        <w:t>. Más adelante afirma:</w:t>
      </w:r>
    </w:p>
    <w:p w:rsidR="009916EF" w:rsidRPr="00913C75" w:rsidRDefault="009916EF" w:rsidP="00097143">
      <w:pPr>
        <w:jc w:val="both"/>
        <w:rPr>
          <w:rFonts w:ascii="Times New Roman" w:hAnsi="Times New Roman" w:cs="Times New Roman"/>
          <w:sz w:val="24"/>
          <w:szCs w:val="24"/>
          <w:lang w:val="es-ES_tradnl"/>
        </w:rPr>
      </w:pPr>
    </w:p>
    <w:p w:rsidR="009916EF" w:rsidRPr="00913C75" w:rsidRDefault="009916EF" w:rsidP="00097143">
      <w:pPr>
        <w:jc w:val="both"/>
        <w:rPr>
          <w:rFonts w:ascii="Times New Roman" w:hAnsi="Times New Roman" w:cs="Times New Roman"/>
          <w:sz w:val="24"/>
          <w:szCs w:val="24"/>
          <w:lang w:val="es-ES_tradnl"/>
        </w:rPr>
      </w:pPr>
      <w:r w:rsidRPr="00913C75">
        <w:rPr>
          <w:rFonts w:ascii="Times New Roman" w:hAnsi="Times New Roman" w:cs="Times New Roman"/>
          <w:sz w:val="24"/>
          <w:szCs w:val="24"/>
          <w:lang w:val="es-ES_tradnl"/>
        </w:rPr>
        <w:t>“El PEN (Poder Ejecutivo Nacional) puede efectuar transacciones en cuestiones referidas a los contratos administrativos, en tanto tiene competencia conferida constitucionalmente… sin nec</w:t>
      </w:r>
      <w:r w:rsidRPr="00913C75">
        <w:rPr>
          <w:rFonts w:ascii="Times New Roman" w:hAnsi="Times New Roman" w:cs="Times New Roman"/>
          <w:sz w:val="24"/>
          <w:szCs w:val="24"/>
          <w:lang w:val="es-ES_tradnl"/>
        </w:rPr>
        <w:t>e</w:t>
      </w:r>
      <w:r w:rsidRPr="00913C75">
        <w:rPr>
          <w:rFonts w:ascii="Times New Roman" w:hAnsi="Times New Roman" w:cs="Times New Roman"/>
          <w:sz w:val="24"/>
          <w:szCs w:val="24"/>
          <w:lang w:val="es-ES_tradnl"/>
        </w:rPr>
        <w:t xml:space="preserve">sidad de que alguna ley lo autorice y siempre teniendo en cuenta el interés público. Esta </w:t>
      </w:r>
      <w:r w:rsidRPr="00913C75">
        <w:rPr>
          <w:rFonts w:ascii="Times New Roman" w:hAnsi="Times New Roman" w:cs="Times New Roman"/>
          <w:i/>
          <w:sz w:val="24"/>
          <w:szCs w:val="24"/>
          <w:lang w:val="es-EC"/>
        </w:rPr>
        <w:t>transa</w:t>
      </w:r>
      <w:r w:rsidRPr="00913C75">
        <w:rPr>
          <w:rFonts w:ascii="Times New Roman" w:hAnsi="Times New Roman" w:cs="Times New Roman"/>
          <w:i/>
          <w:sz w:val="24"/>
          <w:szCs w:val="24"/>
          <w:lang w:val="es-EC"/>
        </w:rPr>
        <w:t>c</w:t>
      </w:r>
      <w:r w:rsidRPr="00913C75">
        <w:rPr>
          <w:rFonts w:ascii="Times New Roman" w:hAnsi="Times New Roman" w:cs="Times New Roman"/>
          <w:i/>
          <w:sz w:val="24"/>
          <w:szCs w:val="24"/>
          <w:lang w:val="es-EC"/>
        </w:rPr>
        <w:t xml:space="preserve">ción </w:t>
      </w:r>
      <w:r w:rsidRPr="00913C75">
        <w:rPr>
          <w:rFonts w:ascii="Times New Roman" w:hAnsi="Times New Roman" w:cs="Times New Roman"/>
          <w:sz w:val="24"/>
          <w:szCs w:val="24"/>
          <w:lang w:val="es-ES_tradnl"/>
        </w:rPr>
        <w:t>queda comprendida en los alcances de los principios y normas del Derecho público, no p</w:t>
      </w:r>
      <w:r w:rsidRPr="00913C75">
        <w:rPr>
          <w:rFonts w:ascii="Times New Roman" w:hAnsi="Times New Roman" w:cs="Times New Roman"/>
          <w:sz w:val="24"/>
          <w:szCs w:val="24"/>
          <w:lang w:val="es-ES_tradnl"/>
        </w:rPr>
        <w:t>u</w:t>
      </w:r>
      <w:r w:rsidRPr="00913C75">
        <w:rPr>
          <w:rFonts w:ascii="Times New Roman" w:hAnsi="Times New Roman" w:cs="Times New Roman"/>
          <w:sz w:val="24"/>
          <w:szCs w:val="24"/>
          <w:lang w:val="es-ES_tradnl"/>
        </w:rPr>
        <w:t>diendo el Estado actuar más allá de lo que ellas determinan. Por ello la ley de consolidación 23.982 dispone que el PEN, o cualquiera de los ministros que le asisten, podrá acordar transa</w:t>
      </w:r>
      <w:r w:rsidRPr="00913C75">
        <w:rPr>
          <w:rFonts w:ascii="Times New Roman" w:hAnsi="Times New Roman" w:cs="Times New Roman"/>
          <w:sz w:val="24"/>
          <w:szCs w:val="24"/>
          <w:lang w:val="es-ES_tradnl"/>
        </w:rPr>
        <w:t>c</w:t>
      </w:r>
      <w:r w:rsidRPr="00913C75">
        <w:rPr>
          <w:rFonts w:ascii="Times New Roman" w:hAnsi="Times New Roman" w:cs="Times New Roman"/>
          <w:sz w:val="24"/>
          <w:szCs w:val="24"/>
          <w:lang w:val="es-ES_tradnl"/>
        </w:rPr>
        <w:t>ciones o someter a arbitraje las controversias que mantengan con los particulares en sede adm</w:t>
      </w:r>
      <w:r w:rsidRPr="00913C75">
        <w:rPr>
          <w:rFonts w:ascii="Times New Roman" w:hAnsi="Times New Roman" w:cs="Times New Roman"/>
          <w:sz w:val="24"/>
          <w:szCs w:val="24"/>
          <w:lang w:val="es-ES_tradnl"/>
        </w:rPr>
        <w:t>i</w:t>
      </w:r>
      <w:r w:rsidRPr="00913C75">
        <w:rPr>
          <w:rFonts w:ascii="Times New Roman" w:hAnsi="Times New Roman" w:cs="Times New Roman"/>
          <w:sz w:val="24"/>
          <w:szCs w:val="24"/>
          <w:lang w:val="es-ES_tradnl"/>
        </w:rPr>
        <w:t>nistrativa o judicial, determinando el procedimiento a seguir en cada caso”</w:t>
      </w:r>
      <w:r w:rsidRPr="00913C75">
        <w:rPr>
          <w:rFonts w:ascii="Times New Roman" w:hAnsi="Times New Roman" w:cs="Times New Roman"/>
          <w:sz w:val="24"/>
          <w:szCs w:val="24"/>
          <w:vertAlign w:val="superscript"/>
          <w:lang w:val="es-ES_tradnl"/>
        </w:rPr>
        <w:footnoteReference w:id="12"/>
      </w:r>
      <w:r w:rsidRPr="00913C75">
        <w:rPr>
          <w:rFonts w:ascii="Times New Roman" w:hAnsi="Times New Roman" w:cs="Times New Roman"/>
          <w:sz w:val="24"/>
          <w:szCs w:val="24"/>
          <w:lang w:val="es-ES_tradnl"/>
        </w:rPr>
        <w:t>.</w:t>
      </w:r>
    </w:p>
    <w:p w:rsidR="009916EF" w:rsidRPr="00913C75" w:rsidRDefault="009916EF" w:rsidP="00097143">
      <w:pPr>
        <w:jc w:val="both"/>
        <w:rPr>
          <w:rFonts w:ascii="Times New Roman" w:hAnsi="Times New Roman" w:cs="Times New Roman"/>
          <w:sz w:val="24"/>
          <w:szCs w:val="24"/>
          <w:lang w:val="es-ES_tradnl"/>
        </w:rPr>
      </w:pPr>
    </w:p>
    <w:p w:rsidR="009916EF" w:rsidRPr="00913C75" w:rsidRDefault="009916EF" w:rsidP="00097143">
      <w:pPr>
        <w:jc w:val="both"/>
        <w:rPr>
          <w:rFonts w:ascii="Times New Roman" w:hAnsi="Times New Roman" w:cs="Times New Roman"/>
          <w:sz w:val="24"/>
          <w:szCs w:val="24"/>
          <w:lang w:val="es-ES_tradnl"/>
        </w:rPr>
      </w:pPr>
      <w:r w:rsidRPr="00913C75">
        <w:rPr>
          <w:rFonts w:ascii="Times New Roman" w:hAnsi="Times New Roman" w:cs="Times New Roman"/>
          <w:sz w:val="24"/>
          <w:szCs w:val="24"/>
          <w:lang w:val="es-ES_tradnl"/>
        </w:rPr>
        <w:t>Se puede concordar con este autor argentino en la validez general de su afirmación; lo cual no obsta para que una ley pueda atribuir expresamente a tales pronunciamientos o a sus actos inte</w:t>
      </w:r>
      <w:r w:rsidRPr="00913C75">
        <w:rPr>
          <w:rFonts w:ascii="Times New Roman" w:hAnsi="Times New Roman" w:cs="Times New Roman"/>
          <w:sz w:val="24"/>
          <w:szCs w:val="24"/>
          <w:lang w:val="es-ES_tradnl"/>
        </w:rPr>
        <w:t>r</w:t>
      </w:r>
      <w:r w:rsidRPr="00913C75">
        <w:rPr>
          <w:rFonts w:ascii="Times New Roman" w:hAnsi="Times New Roman" w:cs="Times New Roman"/>
          <w:sz w:val="24"/>
          <w:szCs w:val="24"/>
          <w:lang w:val="es-ES_tradnl"/>
        </w:rPr>
        <w:t>locutorios previos y posteriores, la sujeción al procedimiento arbitral, como lo hizo la Ley R</w:t>
      </w:r>
      <w:r w:rsidRPr="00913C75">
        <w:rPr>
          <w:rFonts w:ascii="Times New Roman" w:hAnsi="Times New Roman" w:cs="Times New Roman"/>
          <w:sz w:val="24"/>
          <w:szCs w:val="24"/>
          <w:lang w:val="es-ES_tradnl"/>
        </w:rPr>
        <w:t>e</w:t>
      </w:r>
      <w:r w:rsidRPr="00913C75">
        <w:rPr>
          <w:rFonts w:ascii="Times New Roman" w:hAnsi="Times New Roman" w:cs="Times New Roman"/>
          <w:sz w:val="24"/>
          <w:szCs w:val="24"/>
          <w:lang w:val="es-ES_tradnl"/>
        </w:rPr>
        <w:t>formatoria a la Ley Especial de Telecomunicaciones del Ecuador.</w:t>
      </w:r>
    </w:p>
    <w:p w:rsidR="00A119B9" w:rsidRPr="00913C75" w:rsidRDefault="00A119B9" w:rsidP="00097143">
      <w:pPr>
        <w:jc w:val="both"/>
        <w:rPr>
          <w:rFonts w:ascii="Times New Roman" w:hAnsi="Times New Roman" w:cs="Times New Roman"/>
          <w:sz w:val="24"/>
          <w:szCs w:val="24"/>
          <w:lang w:val="es-ES_tradnl"/>
        </w:rPr>
      </w:pPr>
    </w:p>
    <w:p w:rsidR="00D72F19" w:rsidRPr="00913C75" w:rsidRDefault="00D72F19" w:rsidP="00097143">
      <w:pPr>
        <w:pStyle w:val="Heading2"/>
        <w:jc w:val="both"/>
        <w:rPr>
          <w:sz w:val="24"/>
          <w:szCs w:val="24"/>
        </w:rPr>
      </w:pPr>
      <w:r w:rsidRPr="00913C75">
        <w:rPr>
          <w:sz w:val="24"/>
          <w:szCs w:val="24"/>
        </w:rPr>
        <w:t>Los actos administrativos en la contratación pública</w:t>
      </w:r>
    </w:p>
    <w:p w:rsidR="00D72F19" w:rsidRPr="00913C75" w:rsidRDefault="00D72F19" w:rsidP="00097143">
      <w:pPr>
        <w:jc w:val="both"/>
        <w:rPr>
          <w:rFonts w:ascii="Times New Roman" w:hAnsi="Times New Roman" w:cs="Times New Roman"/>
          <w:sz w:val="24"/>
          <w:szCs w:val="24"/>
          <w:lang w:val="es-ES_tradnl"/>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Ninguna disposición legal ecuatoriana cuestiona expresamente el arbitraje para las disputas sobre la terminación del contrato.</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Resulta obvio que los reclamos al Contratante (público) solo pueden referirse a “actos admini</w:t>
      </w:r>
      <w:r w:rsidRPr="00913C75">
        <w:rPr>
          <w:rFonts w:ascii="Times New Roman" w:hAnsi="Times New Roman" w:cs="Times New Roman"/>
          <w:sz w:val="24"/>
          <w:szCs w:val="24"/>
          <w:lang w:val="es-EC"/>
        </w:rPr>
        <w:t>s</w:t>
      </w:r>
      <w:r w:rsidRPr="00913C75">
        <w:rPr>
          <w:rFonts w:ascii="Times New Roman" w:hAnsi="Times New Roman" w:cs="Times New Roman"/>
          <w:sz w:val="24"/>
          <w:szCs w:val="24"/>
          <w:lang w:val="es-EC"/>
        </w:rPr>
        <w:t>trativos”, que es la forma normal en que puede manifestarse el Estado dentro de un contrato: modificaciones, incluyendo ampliaciones del plazo, multas, reajustes, ejecuciones de garantías y, por supuesto, terminación unilateral del contrato y caducidad.</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El arbitraje de la Cámara de Comercio de Quito ha descartado la excepción de la Procuraduría General del Estado que afirma consistentemente que el acto administrativo de la terminación unilateral del Estado no es materia arbitral. Por lo menos en un caso que podemos citar el Árbitro rechazó la excepción, se declaró competente y falló a favor del Estado, razonando que el trámite de terminación unilateral y anticipada del contrato estuvo apegado a la Ley y al contrato.</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En las sentencias de casación que hemos podido consultar no hemos encontrado ninguna relativa a la impugnación por parte del Estado por causal de nulidad de un laudo por estas causales. Au</w:t>
      </w:r>
      <w:r w:rsidRPr="00913C75">
        <w:rPr>
          <w:rFonts w:ascii="Times New Roman" w:hAnsi="Times New Roman" w:cs="Times New Roman"/>
          <w:sz w:val="24"/>
          <w:szCs w:val="24"/>
          <w:lang w:val="es-EC"/>
        </w:rPr>
        <w:t>n</w:t>
      </w:r>
      <w:r w:rsidRPr="00913C75">
        <w:rPr>
          <w:rFonts w:ascii="Times New Roman" w:hAnsi="Times New Roman" w:cs="Times New Roman"/>
          <w:sz w:val="24"/>
          <w:szCs w:val="24"/>
          <w:lang w:val="es-EC"/>
        </w:rPr>
        <w:t xml:space="preserve">que no se descarta que </w:t>
      </w:r>
      <w:r w:rsidR="00A119B9" w:rsidRPr="00913C75">
        <w:rPr>
          <w:rFonts w:ascii="Times New Roman" w:hAnsi="Times New Roman" w:cs="Times New Roman"/>
          <w:sz w:val="24"/>
          <w:szCs w:val="24"/>
          <w:lang w:val="es-EC"/>
        </w:rPr>
        <w:t>pueda</w:t>
      </w:r>
      <w:r w:rsidRPr="00913C75">
        <w:rPr>
          <w:rFonts w:ascii="Times New Roman" w:hAnsi="Times New Roman" w:cs="Times New Roman"/>
          <w:sz w:val="24"/>
          <w:szCs w:val="24"/>
          <w:lang w:val="es-EC"/>
        </w:rPr>
        <w:t xml:space="preserve"> haberse dado, en lo que tal vez alguno de los otros panelistas o de los asistentes nos puedan ilustrar.</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lastRenderedPageBreak/>
        <w:t>Tanto la Codificación de la Ley de Arbitraje y Mediación ecuatoriana cuanto cierta doctrina afirman que no cabe arbitraje sobre materias “indisponibles”, pero en ninguna parte se especifica QUÉ ES INDISPONIBLE.</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Típicamente indisponibles son los derechos humanos, los que atañen a relaciones de familia, las acciones penales, las potestades que la Constitución atribuye directamente, indelegablemente, al Jefe de Estado, etc.</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Aunque sé que afirman lo contrario, yo considero que EL ACTO ADMINISTRATIVO ES DI</w:t>
      </w:r>
      <w:r w:rsidRPr="00913C75">
        <w:rPr>
          <w:rFonts w:ascii="Times New Roman" w:hAnsi="Times New Roman" w:cs="Times New Roman"/>
          <w:sz w:val="24"/>
          <w:szCs w:val="24"/>
          <w:lang w:val="es-EC"/>
        </w:rPr>
        <w:t>S</w:t>
      </w:r>
      <w:r w:rsidRPr="00913C75">
        <w:rPr>
          <w:rFonts w:ascii="Times New Roman" w:hAnsi="Times New Roman" w:cs="Times New Roman"/>
          <w:sz w:val="24"/>
          <w:szCs w:val="24"/>
          <w:lang w:val="es-EC"/>
        </w:rPr>
        <w:t>PONIBLE</w:t>
      </w:r>
      <w:r w:rsidRPr="00913C75">
        <w:rPr>
          <w:rFonts w:ascii="Times New Roman" w:hAnsi="Times New Roman" w:cs="Times New Roman"/>
          <w:i/>
          <w:sz w:val="24"/>
          <w:szCs w:val="24"/>
          <w:lang w:val="es-EC"/>
        </w:rPr>
        <w:t xml:space="preserve">, </w:t>
      </w:r>
      <w:r w:rsidRPr="00913C75">
        <w:rPr>
          <w:rFonts w:ascii="Times New Roman" w:hAnsi="Times New Roman" w:cs="Times New Roman"/>
          <w:sz w:val="24"/>
          <w:szCs w:val="24"/>
          <w:lang w:val="es-EC"/>
        </w:rPr>
        <w:t>puesto que en las circunstancias determinadas por la doctrina y por el ERJAFE</w:t>
      </w:r>
      <w:r w:rsidRPr="00913C75">
        <w:rPr>
          <w:rFonts w:ascii="Times New Roman" w:hAnsi="Times New Roman" w:cs="Times New Roman"/>
          <w:sz w:val="24"/>
          <w:szCs w:val="24"/>
          <w:vertAlign w:val="superscript"/>
          <w:lang w:val="es-EC"/>
        </w:rPr>
        <w:footnoteReference w:id="13"/>
      </w:r>
      <w:r w:rsidRPr="00913C75">
        <w:rPr>
          <w:rFonts w:ascii="Times New Roman" w:hAnsi="Times New Roman" w:cs="Times New Roman"/>
          <w:sz w:val="24"/>
          <w:szCs w:val="24"/>
          <w:lang w:val="es-EC"/>
        </w:rPr>
        <w:t xml:space="preserve"> la autoridad que las dictó (reposición) y superiores (apelación, revisión) los puede dejar sin efecto o modificarlos, no solamente por causas de legalidad sino también de oportunidad.</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Esto se aplica también a actos administrativos sancionatorios, cuando se encuentran vicios en su expedición.</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Asimismo, los actos irregulares pueden convalidarse.</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En la actualidad la doctrina se refiere en forma pacífica a los actos administrativos transaccion</w:t>
      </w:r>
      <w:r w:rsidRPr="00913C75">
        <w:rPr>
          <w:rFonts w:ascii="Times New Roman" w:hAnsi="Times New Roman" w:cs="Times New Roman"/>
          <w:sz w:val="24"/>
          <w:szCs w:val="24"/>
          <w:lang w:val="es-EC"/>
        </w:rPr>
        <w:t>a</w:t>
      </w:r>
      <w:r w:rsidRPr="00913C75">
        <w:rPr>
          <w:rFonts w:ascii="Times New Roman" w:hAnsi="Times New Roman" w:cs="Times New Roman"/>
          <w:sz w:val="24"/>
          <w:szCs w:val="24"/>
          <w:lang w:val="es-EC"/>
        </w:rPr>
        <w:t>les y, por tanto, bilaterales, inclusive en una materia que indudablemente releva de la potestad estatal como es la materia tributaria.</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Se ha tratado también de distinguir entre actos administrativos “normales” y otros derivados de naturaleza “exorbitante”, entre los cuales se encontrarían precisamente las declaratorias de te</w:t>
      </w:r>
      <w:r w:rsidRPr="00913C75">
        <w:rPr>
          <w:rFonts w:ascii="Times New Roman" w:hAnsi="Times New Roman" w:cs="Times New Roman"/>
          <w:sz w:val="24"/>
          <w:szCs w:val="24"/>
          <w:lang w:val="es-EC"/>
        </w:rPr>
        <w:t>r</w:t>
      </w:r>
      <w:r w:rsidRPr="00913C75">
        <w:rPr>
          <w:rFonts w:ascii="Times New Roman" w:hAnsi="Times New Roman" w:cs="Times New Roman"/>
          <w:sz w:val="24"/>
          <w:szCs w:val="24"/>
          <w:lang w:val="es-EC"/>
        </w:rPr>
        <w:t xml:space="preserve">minación unilateral y anticipada del contrato y la caducidad. Estos últimos no serían disponibles. </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Pero tal distinción no encuentra sustento en la doctrina, puesto que en cualquier acto administr</w:t>
      </w:r>
      <w:r w:rsidRPr="00913C75">
        <w:rPr>
          <w:rFonts w:ascii="Times New Roman" w:hAnsi="Times New Roman" w:cs="Times New Roman"/>
          <w:sz w:val="24"/>
          <w:szCs w:val="24"/>
          <w:lang w:val="es-EC"/>
        </w:rPr>
        <w:t>a</w:t>
      </w:r>
      <w:r w:rsidRPr="00913C75">
        <w:rPr>
          <w:rFonts w:ascii="Times New Roman" w:hAnsi="Times New Roman" w:cs="Times New Roman"/>
          <w:sz w:val="24"/>
          <w:szCs w:val="24"/>
          <w:lang w:val="es-EC"/>
        </w:rPr>
        <w:t xml:space="preserve">tivo se manifiesta la </w:t>
      </w:r>
      <w:r w:rsidRPr="00913C75">
        <w:rPr>
          <w:rFonts w:ascii="Times New Roman" w:hAnsi="Times New Roman" w:cs="Times New Roman"/>
          <w:i/>
          <w:iCs/>
          <w:sz w:val="24"/>
          <w:szCs w:val="24"/>
          <w:lang w:val="es-EC"/>
        </w:rPr>
        <w:t>potestas</w:t>
      </w:r>
      <w:r w:rsidRPr="00913C75">
        <w:rPr>
          <w:rFonts w:ascii="Times New Roman" w:hAnsi="Times New Roman" w:cs="Times New Roman"/>
          <w:sz w:val="24"/>
          <w:szCs w:val="24"/>
          <w:lang w:val="es-EC"/>
        </w:rPr>
        <w:t xml:space="preserve"> estatal, sin excepción. Cualquier acto administrativo ostenta las propiedades de ejecutoriedad y presunción de legalidad y de legitimidad, que solo el Estado pu</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de imprimir a sus propios actos, que se manifiesta también en el ejercicio de la autotutela.</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Por otra parte, es cierto que las facultades exorbitantes, en su aplicación contractual imponen cláusulas que no podrían incorporarse en un contrato de Derecho Privado entre particulares, puesto que serían causal de nulidad absoluta.</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Una antigua sentencia de la Corte Suprema de Justicia consideró de nulidad absoluta de la est</w:t>
      </w:r>
      <w:r w:rsidRPr="00913C75">
        <w:rPr>
          <w:rFonts w:ascii="Times New Roman" w:hAnsi="Times New Roman" w:cs="Times New Roman"/>
          <w:sz w:val="24"/>
          <w:szCs w:val="24"/>
          <w:lang w:val="es-EC"/>
        </w:rPr>
        <w:t>i</w:t>
      </w:r>
      <w:r w:rsidRPr="00913C75">
        <w:rPr>
          <w:rFonts w:ascii="Times New Roman" w:hAnsi="Times New Roman" w:cs="Times New Roman"/>
          <w:sz w:val="24"/>
          <w:szCs w:val="24"/>
          <w:lang w:val="es-EC"/>
        </w:rPr>
        <w:t>pulación que faculta al contratante para sustituirse al juez en la ejecución de una cláusula co</w:t>
      </w:r>
      <w:r w:rsidRPr="00913C75">
        <w:rPr>
          <w:rFonts w:ascii="Times New Roman" w:hAnsi="Times New Roman" w:cs="Times New Roman"/>
          <w:sz w:val="24"/>
          <w:szCs w:val="24"/>
          <w:lang w:val="es-EC"/>
        </w:rPr>
        <w:t>n</w:t>
      </w:r>
      <w:r w:rsidRPr="00913C75">
        <w:rPr>
          <w:rFonts w:ascii="Times New Roman" w:hAnsi="Times New Roman" w:cs="Times New Roman"/>
          <w:sz w:val="24"/>
          <w:szCs w:val="24"/>
          <w:lang w:val="es-EC"/>
        </w:rPr>
        <w:t xml:space="preserve">tractual en un contrato privado. Expresó que </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 hay objeto ilícito en todo lo que contraviene al Derecho Público ecuatoriano; y este der</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cho prescribe que todos cuantos tengan necesidad de exigir el cumplimiento de una obligación acudan al poder judicial; la estipulación de administrar justicia por sí mismo en su propia causa, sería incompatible con la existencia misma de la asociación civil, porque eso de desempeñar el doble papel de Juez y parte es contrario a la ley y a la consciencia, pues es muy difícil que imp</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re la justicia donde media el interés”</w:t>
      </w:r>
      <w:r w:rsidRPr="00913C75">
        <w:rPr>
          <w:rFonts w:ascii="Times New Roman" w:hAnsi="Times New Roman" w:cs="Times New Roman"/>
          <w:sz w:val="24"/>
          <w:szCs w:val="24"/>
          <w:vertAlign w:val="superscript"/>
          <w:lang w:val="es-EC"/>
        </w:rPr>
        <w:footnoteReference w:id="14"/>
      </w:r>
      <w:r w:rsidRPr="00913C75">
        <w:rPr>
          <w:rFonts w:ascii="Times New Roman" w:hAnsi="Times New Roman" w:cs="Times New Roman"/>
          <w:sz w:val="24"/>
          <w:szCs w:val="24"/>
          <w:lang w:val="es-EC"/>
        </w:rPr>
        <w:t>.</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lastRenderedPageBreak/>
        <w:t>Pero la autotutela que ejerce la Administración Pública sobre sus propios actos es precisamente la adjudicación del órgano público “en su propia causa”, como en efecto lo es el ejercicio de la cláusula exorbitante de terminación unilateral y anticipada del contrato. Un arbitraje que juzgue una terminación de estas, no podría juzgarla desde el punto de vista del Derecho Privado y exp</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dir un laudo que declare nulo el ejercicio de esta potestad por parte del órgano público.</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 xml:space="preserve">Pero tanto el juez de la jurisdicción ordinaria como el árbitro pueden indudablemente examinar la racionalidad y proporcionalidad y la correcta aplicación de las reglas legales, reglamentarias y contractuales del ejercicio de sus facultades por parte de la Administración Pública, así como el Juez contencioso administrativo examina la racionalidad y proporcionalidad de la aplicación de la potestad discrecional, sin dejar de reconocer el legítimo ejercicio de la </w:t>
      </w:r>
      <w:r w:rsidRPr="00913C75">
        <w:rPr>
          <w:rFonts w:ascii="Times New Roman" w:hAnsi="Times New Roman" w:cs="Times New Roman"/>
          <w:i/>
          <w:iCs/>
          <w:sz w:val="24"/>
          <w:szCs w:val="24"/>
          <w:lang w:val="es-EC"/>
        </w:rPr>
        <w:t>potestas</w:t>
      </w:r>
      <w:r w:rsidRPr="00913C75">
        <w:rPr>
          <w:rFonts w:ascii="Times New Roman" w:hAnsi="Times New Roman" w:cs="Times New Roman"/>
          <w:sz w:val="24"/>
          <w:szCs w:val="24"/>
          <w:lang w:val="es-EC"/>
        </w:rPr>
        <w:t xml:space="preserve"> pública por parte de la Administración, que no puede ser cuestionado.</w:t>
      </w:r>
    </w:p>
    <w:p w:rsidR="002904C4" w:rsidRPr="00913C75" w:rsidRDefault="002904C4"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Hay que reconocer que hoy día existe una corriente en Sudamérica, incluyendo por supuesto el Ecuador, liderada por la Argentina, que se resiste al juzgamiento de los actos administrativos de la Administración Pública expedidos dentro de la relación contractual con particulares. Pero t</w:t>
      </w:r>
      <w:r w:rsidRPr="00913C75">
        <w:rPr>
          <w:rFonts w:ascii="Times New Roman" w:hAnsi="Times New Roman" w:cs="Times New Roman"/>
          <w:sz w:val="24"/>
          <w:szCs w:val="24"/>
          <w:lang w:val="es-EC"/>
        </w:rPr>
        <w:t>o</w:t>
      </w:r>
      <w:r w:rsidRPr="00913C75">
        <w:rPr>
          <w:rFonts w:ascii="Times New Roman" w:hAnsi="Times New Roman" w:cs="Times New Roman"/>
          <w:sz w:val="24"/>
          <w:szCs w:val="24"/>
          <w:lang w:val="es-EC"/>
        </w:rPr>
        <w:t>dos los contratos en disputa contienen la cláusula arbitral que, a su vez, se remite a tratados gen</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 xml:space="preserve">rales y bilaterales de inversión, que obligan a los respectivos países a someter esas disputas al arbitraje internacional. No han tenido demasiado éxito las argumentaciones de los Estados, sobre la incompetencia de los tribunales arbitrales internacionales para la solución de tales disputas. El reputado especialista español en derecho de arbitraje, </w:t>
      </w:r>
      <w:r w:rsidRPr="00913C75">
        <w:rPr>
          <w:rFonts w:ascii="Times New Roman" w:hAnsi="Times New Roman" w:cs="Times New Roman"/>
          <w:bCs/>
          <w:sz w:val="24"/>
          <w:szCs w:val="24"/>
          <w:lang w:val="es-EC"/>
        </w:rPr>
        <w:t>Cremades</w:t>
      </w:r>
      <w:r w:rsidRPr="00913C75">
        <w:rPr>
          <w:rFonts w:ascii="Times New Roman" w:hAnsi="Times New Roman" w:cs="Times New Roman"/>
          <w:sz w:val="24"/>
          <w:szCs w:val="24"/>
          <w:lang w:val="es-EC"/>
        </w:rPr>
        <w:t>, manifiesta sobre esta circun</w:t>
      </w:r>
      <w:r w:rsidRPr="00913C75">
        <w:rPr>
          <w:rFonts w:ascii="Times New Roman" w:hAnsi="Times New Roman" w:cs="Times New Roman"/>
          <w:sz w:val="24"/>
          <w:szCs w:val="24"/>
          <w:lang w:val="es-EC"/>
        </w:rPr>
        <w:t>s</w:t>
      </w:r>
      <w:r w:rsidRPr="00913C75">
        <w:rPr>
          <w:rFonts w:ascii="Times New Roman" w:hAnsi="Times New Roman" w:cs="Times New Roman"/>
          <w:sz w:val="24"/>
          <w:szCs w:val="24"/>
          <w:lang w:val="es-EC"/>
        </w:rPr>
        <w:t>tancia:</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 gran parte de los procedimientos arbitrajes en materia de protección de inversiones (c</w:t>
      </w:r>
      <w:r w:rsidRPr="00913C75">
        <w:rPr>
          <w:rFonts w:ascii="Times New Roman" w:hAnsi="Times New Roman" w:cs="Times New Roman"/>
          <w:sz w:val="24"/>
          <w:szCs w:val="24"/>
          <w:lang w:val="es-EC"/>
        </w:rPr>
        <w:t>o</w:t>
      </w:r>
      <w:r w:rsidRPr="00913C75">
        <w:rPr>
          <w:rFonts w:ascii="Times New Roman" w:hAnsi="Times New Roman" w:cs="Times New Roman"/>
          <w:sz w:val="24"/>
          <w:szCs w:val="24"/>
          <w:lang w:val="es-EC"/>
        </w:rPr>
        <w:t>mienzan) con un largo y tedioso cuestionamiento de la jurisdicción y admisibilidad de las prete</w:t>
      </w:r>
      <w:r w:rsidRPr="00913C75">
        <w:rPr>
          <w:rFonts w:ascii="Times New Roman" w:hAnsi="Times New Roman" w:cs="Times New Roman"/>
          <w:sz w:val="24"/>
          <w:szCs w:val="24"/>
          <w:lang w:val="es-EC"/>
        </w:rPr>
        <w:t>n</w:t>
      </w:r>
      <w:r w:rsidRPr="00913C75">
        <w:rPr>
          <w:rFonts w:ascii="Times New Roman" w:hAnsi="Times New Roman" w:cs="Times New Roman"/>
          <w:sz w:val="24"/>
          <w:szCs w:val="24"/>
          <w:lang w:val="es-EC"/>
        </w:rPr>
        <w:t>siones formuladas por los inversores”</w:t>
      </w:r>
      <w:r w:rsidRPr="00913C75">
        <w:rPr>
          <w:rFonts w:ascii="Times New Roman" w:hAnsi="Times New Roman" w:cs="Times New Roman"/>
          <w:sz w:val="24"/>
          <w:szCs w:val="24"/>
          <w:vertAlign w:val="superscript"/>
          <w:lang w:val="es-EC"/>
        </w:rPr>
        <w:footnoteReference w:id="15"/>
      </w:r>
      <w:r w:rsidRPr="00913C75">
        <w:rPr>
          <w:rFonts w:ascii="Times New Roman" w:hAnsi="Times New Roman" w:cs="Times New Roman"/>
          <w:sz w:val="24"/>
          <w:szCs w:val="24"/>
          <w:lang w:val="es-EC"/>
        </w:rPr>
        <w:t>.</w:t>
      </w:r>
    </w:p>
    <w:p w:rsidR="009916EF" w:rsidRPr="00913C75" w:rsidRDefault="009916EF" w:rsidP="00097143">
      <w:pPr>
        <w:jc w:val="both"/>
        <w:rPr>
          <w:rFonts w:ascii="Times New Roman" w:hAnsi="Times New Roman" w:cs="Times New Roman"/>
          <w:sz w:val="24"/>
          <w:szCs w:val="24"/>
          <w:lang w:val="es-EC"/>
        </w:rPr>
      </w:pPr>
    </w:p>
    <w:p w:rsidR="009916EF" w:rsidRPr="00913C75" w:rsidRDefault="009916EF"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Se pueden encontrar unos pocos motivos de la situación, entre muchas otras, que relevan princ</w:t>
      </w:r>
      <w:r w:rsidRPr="00913C75">
        <w:rPr>
          <w:rFonts w:ascii="Times New Roman" w:hAnsi="Times New Roman" w:cs="Times New Roman"/>
          <w:sz w:val="24"/>
          <w:szCs w:val="24"/>
          <w:lang w:val="es-EC"/>
        </w:rPr>
        <w:t>i</w:t>
      </w:r>
      <w:r w:rsidRPr="00913C75">
        <w:rPr>
          <w:rFonts w:ascii="Times New Roman" w:hAnsi="Times New Roman" w:cs="Times New Roman"/>
          <w:sz w:val="24"/>
          <w:szCs w:val="24"/>
          <w:lang w:val="es-EC"/>
        </w:rPr>
        <w:t>palmente de la naturaleza del arbitraje internacional. La principal sería la contradicción intríns</w:t>
      </w:r>
      <w:r w:rsidRPr="00913C75">
        <w:rPr>
          <w:rFonts w:ascii="Times New Roman" w:hAnsi="Times New Roman" w:cs="Times New Roman"/>
          <w:sz w:val="24"/>
          <w:szCs w:val="24"/>
          <w:lang w:val="es-EC"/>
        </w:rPr>
        <w:t>e</w:t>
      </w:r>
      <w:r w:rsidRPr="00913C75">
        <w:rPr>
          <w:rFonts w:ascii="Times New Roman" w:hAnsi="Times New Roman" w:cs="Times New Roman"/>
          <w:sz w:val="24"/>
          <w:szCs w:val="24"/>
          <w:lang w:val="es-EC"/>
        </w:rPr>
        <w:t xml:space="preserve">ca de la noción de “contrato administrativo internacional”, señalada por </w:t>
      </w:r>
      <w:r w:rsidRPr="00913C75">
        <w:rPr>
          <w:rFonts w:ascii="Times New Roman" w:hAnsi="Times New Roman" w:cs="Times New Roman"/>
          <w:bCs/>
          <w:sz w:val="24"/>
          <w:szCs w:val="24"/>
          <w:lang w:val="es-EC"/>
        </w:rPr>
        <w:t>Cremades</w:t>
      </w:r>
      <w:r w:rsidRPr="00913C75">
        <w:rPr>
          <w:rFonts w:ascii="Times New Roman" w:hAnsi="Times New Roman" w:cs="Times New Roman"/>
          <w:sz w:val="24"/>
          <w:szCs w:val="24"/>
          <w:lang w:val="es-EC"/>
        </w:rPr>
        <w:t>.</w:t>
      </w:r>
    </w:p>
    <w:p w:rsidR="001E1048" w:rsidRPr="00913C75" w:rsidRDefault="001E1048" w:rsidP="00097143">
      <w:pPr>
        <w:jc w:val="both"/>
        <w:rPr>
          <w:rFonts w:ascii="Times New Roman" w:hAnsi="Times New Roman" w:cs="Times New Roman"/>
          <w:sz w:val="24"/>
          <w:szCs w:val="24"/>
          <w:lang w:val="es-EC"/>
        </w:rPr>
      </w:pPr>
    </w:p>
    <w:p w:rsidR="00A119B9" w:rsidRPr="00913C75" w:rsidRDefault="00A119B9" w:rsidP="00097143">
      <w:pPr>
        <w:jc w:val="both"/>
        <w:rPr>
          <w:rFonts w:ascii="Times New Roman" w:hAnsi="Times New Roman" w:cs="Times New Roman"/>
          <w:sz w:val="24"/>
          <w:szCs w:val="24"/>
          <w:lang w:val="es-EC"/>
        </w:rPr>
      </w:pPr>
      <w:r w:rsidRPr="00913C75">
        <w:rPr>
          <w:rFonts w:ascii="Times New Roman" w:hAnsi="Times New Roman" w:cs="Times New Roman"/>
          <w:sz w:val="24"/>
          <w:szCs w:val="24"/>
          <w:lang w:val="es-EC"/>
        </w:rPr>
        <w:t>En todo caso, puede concluirse observando que en la actualidad Ley Orgánica del Sistema N</w:t>
      </w:r>
      <w:r w:rsidRPr="00913C75">
        <w:rPr>
          <w:rFonts w:ascii="Times New Roman" w:hAnsi="Times New Roman" w:cs="Times New Roman"/>
          <w:sz w:val="24"/>
          <w:szCs w:val="24"/>
          <w:lang w:val="es-EC"/>
        </w:rPr>
        <w:t>a</w:t>
      </w:r>
      <w:r w:rsidRPr="00913C75">
        <w:rPr>
          <w:rFonts w:ascii="Times New Roman" w:hAnsi="Times New Roman" w:cs="Times New Roman"/>
          <w:sz w:val="24"/>
          <w:szCs w:val="24"/>
          <w:lang w:val="es-EC"/>
        </w:rPr>
        <w:t>cional de Contratación Pública contempla el arbitraje expresamente para la impugnación de las multas a los contratistas</w:t>
      </w:r>
      <w:r w:rsidRPr="00913C75">
        <w:rPr>
          <w:rFonts w:ascii="Times New Roman" w:hAnsi="Times New Roman" w:cs="Times New Roman"/>
          <w:sz w:val="24"/>
          <w:szCs w:val="24"/>
          <w:vertAlign w:val="superscript"/>
          <w:lang w:val="es-ES_tradnl"/>
        </w:rPr>
        <w:footnoteReference w:id="16"/>
      </w:r>
      <w:r w:rsidRPr="00913C75">
        <w:rPr>
          <w:rFonts w:ascii="Times New Roman" w:hAnsi="Times New Roman" w:cs="Times New Roman"/>
          <w:sz w:val="24"/>
          <w:szCs w:val="24"/>
          <w:lang w:val="es-EC"/>
        </w:rPr>
        <w:t xml:space="preserve"> y para la resolución de terminación unilateral y anticipada del contr</w:t>
      </w:r>
      <w:r w:rsidRPr="00913C75">
        <w:rPr>
          <w:rFonts w:ascii="Times New Roman" w:hAnsi="Times New Roman" w:cs="Times New Roman"/>
          <w:sz w:val="24"/>
          <w:szCs w:val="24"/>
          <w:lang w:val="es-EC"/>
        </w:rPr>
        <w:t>a</w:t>
      </w:r>
      <w:r w:rsidRPr="00913C75">
        <w:rPr>
          <w:rFonts w:ascii="Times New Roman" w:hAnsi="Times New Roman" w:cs="Times New Roman"/>
          <w:sz w:val="24"/>
          <w:szCs w:val="24"/>
          <w:lang w:val="es-EC"/>
        </w:rPr>
        <w:t>to</w:t>
      </w:r>
      <w:r w:rsidRPr="00913C75">
        <w:rPr>
          <w:rFonts w:ascii="Times New Roman" w:hAnsi="Times New Roman" w:cs="Times New Roman"/>
          <w:sz w:val="24"/>
          <w:szCs w:val="24"/>
          <w:vertAlign w:val="superscript"/>
          <w:lang w:val="es-ES_tradnl"/>
        </w:rPr>
        <w:footnoteReference w:id="17"/>
      </w:r>
      <w:r w:rsidRPr="00913C75">
        <w:rPr>
          <w:rFonts w:ascii="Times New Roman" w:hAnsi="Times New Roman" w:cs="Times New Roman"/>
          <w:sz w:val="24"/>
          <w:szCs w:val="24"/>
          <w:lang w:val="es-EC"/>
        </w:rPr>
        <w:t>. Estas disposiciones indudablemente autorizan el arbitraje también a dos clases de actos a</w:t>
      </w:r>
      <w:r w:rsidRPr="00913C75">
        <w:rPr>
          <w:rFonts w:ascii="Times New Roman" w:hAnsi="Times New Roman" w:cs="Times New Roman"/>
          <w:sz w:val="24"/>
          <w:szCs w:val="24"/>
          <w:lang w:val="es-EC"/>
        </w:rPr>
        <w:t>d</w:t>
      </w:r>
      <w:r w:rsidRPr="00913C75">
        <w:rPr>
          <w:rFonts w:ascii="Times New Roman" w:hAnsi="Times New Roman" w:cs="Times New Roman"/>
          <w:sz w:val="24"/>
          <w:szCs w:val="24"/>
          <w:lang w:val="es-EC"/>
        </w:rPr>
        <w:t>ministrativos de gran relevancia en la ejecución de los contratos públicos como son las sanci</w:t>
      </w:r>
      <w:r w:rsidRPr="00913C75">
        <w:rPr>
          <w:rFonts w:ascii="Times New Roman" w:hAnsi="Times New Roman" w:cs="Times New Roman"/>
          <w:sz w:val="24"/>
          <w:szCs w:val="24"/>
          <w:lang w:val="es-EC"/>
        </w:rPr>
        <w:t>o</w:t>
      </w:r>
      <w:r w:rsidRPr="00913C75">
        <w:rPr>
          <w:rFonts w:ascii="Times New Roman" w:hAnsi="Times New Roman" w:cs="Times New Roman"/>
          <w:sz w:val="24"/>
          <w:szCs w:val="24"/>
          <w:lang w:val="es-EC"/>
        </w:rPr>
        <w:t>nes, en la forma de multas y la resolución que declara la terminación unilateral y anticipada del contrato, todas ellas expedidas a través de actos administrativos.</w:t>
      </w:r>
    </w:p>
    <w:p w:rsidR="009916EF" w:rsidRPr="00913C75" w:rsidRDefault="009916EF" w:rsidP="00097143">
      <w:pPr>
        <w:jc w:val="both"/>
        <w:rPr>
          <w:rFonts w:ascii="Times New Roman" w:hAnsi="Times New Roman" w:cs="Times New Roman"/>
          <w:sz w:val="24"/>
          <w:szCs w:val="24"/>
          <w:lang w:val="es-EC"/>
        </w:rPr>
      </w:pPr>
    </w:p>
    <w:p w:rsidR="00871F00" w:rsidRPr="00913C75" w:rsidRDefault="00871F00" w:rsidP="00097143">
      <w:pPr>
        <w:jc w:val="both"/>
        <w:rPr>
          <w:rFonts w:ascii="Times New Roman" w:hAnsi="Times New Roman" w:cs="Times New Roman"/>
          <w:sz w:val="24"/>
          <w:szCs w:val="24"/>
          <w:lang w:val="es-EC"/>
        </w:rPr>
      </w:pPr>
    </w:p>
    <w:sectPr w:rsidR="00871F00" w:rsidRPr="00913C75" w:rsidSect="003B7C2D">
      <w:footerReference w:type="default" r:id="rId7"/>
      <w:pgSz w:w="11906" w:h="16838"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9B2" w:rsidRDefault="000579B2" w:rsidP="009916EF">
      <w:r>
        <w:separator/>
      </w:r>
    </w:p>
  </w:endnote>
  <w:endnote w:type="continuationSeparator" w:id="0">
    <w:p w:rsidR="000579B2" w:rsidRDefault="000579B2" w:rsidP="009916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00000007" w:usb1="00000000" w:usb2="00000000" w:usb3="00000000" w:csb0="00000093" w:csb1="00000000"/>
  </w:font>
  <w:font w:name="News Gothic MT">
    <w:panose1 w:val="020B0504020203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46944455"/>
      <w:docPartObj>
        <w:docPartGallery w:val="Page Numbers (Bottom of Page)"/>
        <w:docPartUnique/>
      </w:docPartObj>
    </w:sdtPr>
    <w:sdtContent>
      <w:p w:rsidR="00257622" w:rsidRDefault="00971B86">
        <w:pPr>
          <w:pStyle w:val="Footer"/>
          <w:jc w:val="center"/>
        </w:pPr>
        <w:fldSimple w:instr=" PAGE   \* MERGEFORMAT ">
          <w:r w:rsidR="00937B56">
            <w:rPr>
              <w:noProof/>
            </w:rPr>
            <w:t>6</w:t>
          </w:r>
        </w:fldSimple>
      </w:p>
    </w:sdtContent>
  </w:sdt>
  <w:p w:rsidR="00257622" w:rsidRDefault="002576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9B2" w:rsidRDefault="000579B2" w:rsidP="009916EF">
      <w:r>
        <w:separator/>
      </w:r>
    </w:p>
  </w:footnote>
  <w:footnote w:type="continuationSeparator" w:id="0">
    <w:p w:rsidR="000579B2" w:rsidRDefault="000579B2" w:rsidP="009916EF">
      <w:r>
        <w:continuationSeparator/>
      </w:r>
    </w:p>
  </w:footnote>
  <w:footnote w:id="1">
    <w:p w:rsidR="009916EF" w:rsidRPr="00ED2A20" w:rsidRDefault="009916EF" w:rsidP="009916EF">
      <w:pPr>
        <w:pStyle w:val="Textonotapiedoct"/>
        <w:rPr>
          <w:rFonts w:ascii="Times New Roman" w:hAnsi="Times New Roman"/>
          <w:color w:val="365F91" w:themeColor="accent1" w:themeShade="BF"/>
          <w:sz w:val="22"/>
          <w:szCs w:val="22"/>
          <w:lang w:val="es-EC"/>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lang w:val="es-EC"/>
        </w:rPr>
        <w:t xml:space="preserve"> Art. 190</w:t>
      </w:r>
      <w:r w:rsidRPr="00ED2A20">
        <w:rPr>
          <w:rFonts w:ascii="Times New Roman" w:hAnsi="Times New Roman"/>
          <w:i/>
          <w:color w:val="365F91" w:themeColor="accent1" w:themeShade="BF"/>
          <w:sz w:val="22"/>
          <w:szCs w:val="22"/>
          <w:lang w:val="es-EC"/>
        </w:rPr>
        <w:t>, Constitución</w:t>
      </w:r>
      <w:r w:rsidRPr="00ED2A20">
        <w:rPr>
          <w:rFonts w:ascii="Times New Roman" w:hAnsi="Times New Roman"/>
          <w:color w:val="365F91" w:themeColor="accent1" w:themeShade="BF"/>
          <w:sz w:val="22"/>
          <w:szCs w:val="22"/>
          <w:lang w:val="es-EC"/>
        </w:rPr>
        <w:t>.</w:t>
      </w:r>
    </w:p>
  </w:footnote>
  <w:footnote w:id="2">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Sentencia 0001-09-SIC-, Código Civil. Corte Constitucional Para el Período de Transición: “Interprét</w:t>
      </w:r>
      <w:r w:rsidRPr="00ED2A20">
        <w:rPr>
          <w:rFonts w:ascii="Times New Roman" w:hAnsi="Times New Roman"/>
          <w:color w:val="365F91" w:themeColor="accent1" w:themeShade="BF"/>
          <w:sz w:val="22"/>
          <w:szCs w:val="22"/>
        </w:rPr>
        <w:t>a</w:t>
      </w:r>
      <w:r w:rsidRPr="00ED2A20">
        <w:rPr>
          <w:rFonts w:ascii="Times New Roman" w:hAnsi="Times New Roman"/>
          <w:color w:val="365F91" w:themeColor="accent1" w:themeShade="BF"/>
          <w:sz w:val="22"/>
          <w:szCs w:val="22"/>
        </w:rPr>
        <w:t>se, que el artículo 422, inciso final de la Constitución de la República del Ecuador, se aplica específic</w:t>
      </w:r>
      <w:r w:rsidRPr="00ED2A20">
        <w:rPr>
          <w:rFonts w:ascii="Times New Roman" w:hAnsi="Times New Roman"/>
          <w:color w:val="365F91" w:themeColor="accent1" w:themeShade="BF"/>
          <w:sz w:val="22"/>
          <w:szCs w:val="22"/>
        </w:rPr>
        <w:t>a</w:t>
      </w:r>
      <w:r w:rsidRPr="00ED2A20">
        <w:rPr>
          <w:rFonts w:ascii="Times New Roman" w:hAnsi="Times New Roman"/>
          <w:color w:val="365F91" w:themeColor="accent1" w:themeShade="BF"/>
          <w:sz w:val="22"/>
          <w:szCs w:val="22"/>
        </w:rPr>
        <w:t>mente y con prevalencia a las demás normas constitucionales, en los casos de controversias relacionadas con la deuda externa, y, en consecuencia, no es aplicable, para estos casos, la norma contenida en el art</w:t>
      </w:r>
      <w:r w:rsidRPr="00ED2A20">
        <w:rPr>
          <w:rFonts w:ascii="Times New Roman" w:hAnsi="Times New Roman"/>
          <w:color w:val="365F91" w:themeColor="accent1" w:themeShade="BF"/>
          <w:sz w:val="22"/>
          <w:szCs w:val="22"/>
        </w:rPr>
        <w:t>í</w:t>
      </w:r>
      <w:r w:rsidRPr="00ED2A20">
        <w:rPr>
          <w:rFonts w:ascii="Times New Roman" w:hAnsi="Times New Roman"/>
          <w:color w:val="365F91" w:themeColor="accent1" w:themeShade="BF"/>
          <w:sz w:val="22"/>
          <w:szCs w:val="22"/>
        </w:rPr>
        <w:t>culo 190 de la Constitución”. “Sentencia Interpretativa: 1.- Interpretar, que el artículo 422, inciso final de la Constitución de la República del Ecuador, se aplica específicamente y con prevalencia a las demás normas constitucionales, en los casos de controversias relacionadas con la deuda externa, y, en cons</w:t>
      </w:r>
      <w:r w:rsidRPr="00ED2A20">
        <w:rPr>
          <w:rFonts w:ascii="Times New Roman" w:hAnsi="Times New Roman"/>
          <w:color w:val="365F91" w:themeColor="accent1" w:themeShade="BF"/>
          <w:sz w:val="22"/>
          <w:szCs w:val="22"/>
        </w:rPr>
        <w:t>e</w:t>
      </w:r>
      <w:r w:rsidRPr="00ED2A20">
        <w:rPr>
          <w:rFonts w:ascii="Times New Roman" w:hAnsi="Times New Roman"/>
          <w:color w:val="365F91" w:themeColor="accent1" w:themeShade="BF"/>
          <w:sz w:val="22"/>
          <w:szCs w:val="22"/>
        </w:rPr>
        <w:t>cuencia, no es aplicable, para estos casos, la norma contenida en el artículo 190 de la Constitución. 2.- Interpretar, que en los contratos de empréstito internacional, cuando se estipulen cláusulas que incorporen la expresión “fallo en conciencia”, deberá entenderse como sinónimo de “fallo en equidad”, de conform</w:t>
      </w:r>
      <w:r w:rsidRPr="00ED2A20">
        <w:rPr>
          <w:rFonts w:ascii="Times New Roman" w:hAnsi="Times New Roman"/>
          <w:color w:val="365F91" w:themeColor="accent1" w:themeShade="BF"/>
          <w:sz w:val="22"/>
          <w:szCs w:val="22"/>
        </w:rPr>
        <w:t>i</w:t>
      </w:r>
      <w:r w:rsidRPr="00ED2A20">
        <w:rPr>
          <w:rFonts w:ascii="Times New Roman" w:hAnsi="Times New Roman"/>
          <w:color w:val="365F91" w:themeColor="accent1" w:themeShade="BF"/>
          <w:sz w:val="22"/>
          <w:szCs w:val="22"/>
        </w:rPr>
        <w:t>dad con lo establecido en el inciso final del artículo 422 de la Constitución de la República; debiendo, en todo caso, sujetarse a las reglas y principios contenidos en los artículos 416 número 12, 289, 290 y 291 de la Constitución de la República del Ecuador” . SRO549: 16de marzo de 2009.</w:t>
      </w:r>
    </w:p>
  </w:footnote>
  <w:footnote w:id="3">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Art. 422 inciso 3</w:t>
      </w:r>
      <w:r w:rsidRPr="00ED2A20">
        <w:rPr>
          <w:rFonts w:ascii="Times New Roman" w:hAnsi="Times New Roman"/>
          <w:i/>
          <w:color w:val="365F91" w:themeColor="accent1" w:themeShade="BF"/>
          <w:sz w:val="22"/>
          <w:szCs w:val="22"/>
        </w:rPr>
        <w:t>, Constitución</w:t>
      </w:r>
      <w:r w:rsidRPr="00ED2A20">
        <w:rPr>
          <w:rFonts w:ascii="Times New Roman" w:hAnsi="Times New Roman"/>
          <w:color w:val="365F91" w:themeColor="accent1" w:themeShade="BF"/>
          <w:sz w:val="22"/>
          <w:szCs w:val="22"/>
        </w:rPr>
        <w:t>.</w:t>
      </w:r>
    </w:p>
  </w:footnote>
  <w:footnote w:id="4">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Art. 4, inciso cuarto, </w:t>
      </w:r>
      <w:r w:rsidRPr="00ED2A20">
        <w:rPr>
          <w:rStyle w:val="Italicas"/>
          <w:rFonts w:ascii="Times New Roman" w:eastAsia="Calibri" w:hAnsi="Times New Roman"/>
          <w:color w:val="365F91" w:themeColor="accent1" w:themeShade="BF"/>
          <w:spacing w:val="-4"/>
          <w:kern w:val="2"/>
          <w:sz w:val="22"/>
          <w:szCs w:val="22"/>
          <w:lang w:val="es-EC"/>
        </w:rPr>
        <w:t>Ley de Arbitraje y Mediación.</w:t>
      </w:r>
    </w:p>
  </w:footnote>
  <w:footnote w:id="5">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Art. 11, últimos incisos</w:t>
      </w:r>
      <w:r w:rsidRPr="00ED2A20">
        <w:rPr>
          <w:rFonts w:ascii="Times New Roman" w:hAnsi="Times New Roman"/>
          <w:i/>
          <w:color w:val="365F91" w:themeColor="accent1" w:themeShade="BF"/>
          <w:sz w:val="22"/>
          <w:szCs w:val="22"/>
        </w:rPr>
        <w:t>, Constitución</w:t>
      </w:r>
      <w:r w:rsidRPr="00ED2A20">
        <w:rPr>
          <w:rFonts w:ascii="Times New Roman" w:hAnsi="Times New Roman"/>
          <w:color w:val="365F91" w:themeColor="accent1" w:themeShade="BF"/>
          <w:sz w:val="22"/>
          <w:szCs w:val="22"/>
        </w:rPr>
        <w:t>.</w:t>
      </w:r>
    </w:p>
  </w:footnote>
  <w:footnote w:id="6">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Art. 314</w:t>
      </w:r>
      <w:r w:rsidRPr="00ED2A20">
        <w:rPr>
          <w:rFonts w:ascii="Times New Roman" w:hAnsi="Times New Roman"/>
          <w:i/>
          <w:color w:val="365F91" w:themeColor="accent1" w:themeShade="BF"/>
          <w:sz w:val="22"/>
          <w:szCs w:val="22"/>
        </w:rPr>
        <w:t>, Constitución</w:t>
      </w:r>
      <w:r w:rsidRPr="00ED2A20">
        <w:rPr>
          <w:rFonts w:ascii="Times New Roman" w:hAnsi="Times New Roman"/>
          <w:color w:val="365F91" w:themeColor="accent1" w:themeShade="BF"/>
          <w:sz w:val="22"/>
          <w:szCs w:val="22"/>
        </w:rPr>
        <w:t>.</w:t>
      </w:r>
    </w:p>
  </w:footnote>
  <w:footnote w:id="7">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Art. 316</w:t>
      </w:r>
      <w:r w:rsidRPr="00ED2A20">
        <w:rPr>
          <w:rFonts w:ascii="Times New Roman" w:hAnsi="Times New Roman"/>
          <w:i/>
          <w:color w:val="365F91" w:themeColor="accent1" w:themeShade="BF"/>
          <w:sz w:val="22"/>
          <w:szCs w:val="22"/>
        </w:rPr>
        <w:t>, Constitución</w:t>
      </w:r>
      <w:r w:rsidRPr="00ED2A20">
        <w:rPr>
          <w:rFonts w:ascii="Times New Roman" w:hAnsi="Times New Roman"/>
          <w:color w:val="365F91" w:themeColor="accent1" w:themeShade="BF"/>
          <w:sz w:val="22"/>
          <w:szCs w:val="22"/>
        </w:rPr>
        <w:t>.</w:t>
      </w:r>
    </w:p>
  </w:footnote>
  <w:footnote w:id="8">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Art. 1, </w:t>
      </w:r>
      <w:r w:rsidRPr="00ED2A20">
        <w:rPr>
          <w:rStyle w:val="Italicas"/>
          <w:rFonts w:ascii="Times New Roman" w:eastAsia="Calibri" w:hAnsi="Times New Roman"/>
          <w:color w:val="365F91" w:themeColor="accent1" w:themeShade="BF"/>
          <w:spacing w:val="-4"/>
          <w:kern w:val="2"/>
          <w:sz w:val="22"/>
          <w:szCs w:val="22"/>
          <w:lang w:val="es-EC"/>
        </w:rPr>
        <w:t>Ley de Arbitraje y Mediación.</w:t>
      </w:r>
      <w:r w:rsidRPr="00ED2A20">
        <w:rPr>
          <w:rFonts w:ascii="Times New Roman" w:hAnsi="Times New Roman"/>
          <w:color w:val="365F91" w:themeColor="accent1" w:themeShade="BF"/>
          <w:sz w:val="22"/>
          <w:szCs w:val="22"/>
        </w:rPr>
        <w:t>.</w:t>
      </w:r>
    </w:p>
  </w:footnote>
  <w:footnote w:id="9">
    <w:p w:rsidR="009916EF" w:rsidRPr="00ED2A20" w:rsidRDefault="009916EF" w:rsidP="009916EF">
      <w:pPr>
        <w:pStyle w:val="Textonotapiedoct"/>
        <w:rPr>
          <w:rStyle w:val="Italicas"/>
          <w:rFonts w:ascii="Times New Roman" w:eastAsia="Calibri" w:hAnsi="Times New Roman"/>
          <w:i w:val="0"/>
          <w:color w:val="365F91" w:themeColor="accent1" w:themeShade="BF"/>
          <w:spacing w:val="-4"/>
          <w:kern w:val="2"/>
          <w:sz w:val="22"/>
          <w:szCs w:val="22"/>
          <w:lang w:val="es-EC"/>
        </w:rPr>
      </w:pPr>
      <w:r w:rsidRPr="00ED2A20">
        <w:rPr>
          <w:rStyle w:val="FootnoteReference"/>
          <w:rFonts w:eastAsiaTheme="majorEastAsia"/>
          <w:color w:val="365F91" w:themeColor="accent1" w:themeShade="BF"/>
          <w:sz w:val="22"/>
          <w:szCs w:val="22"/>
        </w:rPr>
        <w:footnoteRef/>
      </w:r>
      <w:r w:rsidR="00ED2A20">
        <w:rPr>
          <w:rFonts w:ascii="Times New Roman" w:hAnsi="Times New Roman"/>
          <w:color w:val="365F91" w:themeColor="accent1" w:themeShade="BF"/>
          <w:sz w:val="22"/>
          <w:szCs w:val="22"/>
        </w:rPr>
        <w:t xml:space="preserve"> Art..</w:t>
      </w:r>
      <w:r w:rsidRPr="00ED2A20">
        <w:rPr>
          <w:rFonts w:ascii="Times New Roman" w:hAnsi="Times New Roman"/>
          <w:color w:val="365F91" w:themeColor="accent1" w:themeShade="BF"/>
          <w:sz w:val="22"/>
          <w:szCs w:val="22"/>
        </w:rPr>
        <w:t xml:space="preserve"> 2348, 2354, 2351, 2352 y 2353</w:t>
      </w:r>
      <w:r w:rsidRPr="00ED2A20">
        <w:rPr>
          <w:rStyle w:val="Italicas"/>
          <w:rFonts w:ascii="Times New Roman" w:eastAsia="Calibri" w:hAnsi="Times New Roman"/>
          <w:color w:val="365F91" w:themeColor="accent1" w:themeShade="BF"/>
          <w:spacing w:val="-4"/>
          <w:kern w:val="2"/>
          <w:sz w:val="22"/>
          <w:szCs w:val="22"/>
          <w:lang w:val="es-EC"/>
        </w:rPr>
        <w:t>, Código Civil</w:t>
      </w:r>
      <w:r w:rsidRPr="00ED2A20">
        <w:rPr>
          <w:rFonts w:ascii="Times New Roman" w:hAnsi="Times New Roman"/>
          <w:color w:val="365F91" w:themeColor="accent1" w:themeShade="BF"/>
          <w:sz w:val="22"/>
          <w:szCs w:val="22"/>
        </w:rPr>
        <w:t>.</w:t>
      </w:r>
    </w:p>
  </w:footnote>
  <w:footnote w:id="10">
    <w:p w:rsidR="009916EF" w:rsidRPr="00580377" w:rsidRDefault="009916EF" w:rsidP="009916EF">
      <w:pPr>
        <w:pStyle w:val="Textonotapiedoct"/>
        <w:rPr>
          <w:rFonts w:ascii="Times New Roman" w:eastAsia="Calibri" w:hAnsi="Times New Roman"/>
          <w:color w:val="365F91" w:themeColor="accent1" w:themeShade="BF"/>
          <w:sz w:val="22"/>
          <w:szCs w:val="22"/>
          <w:lang w:val="es-ES"/>
        </w:rPr>
      </w:pPr>
      <w:r w:rsidRPr="00ED2A20">
        <w:rPr>
          <w:rStyle w:val="FootnoteReference"/>
          <w:rFonts w:eastAsiaTheme="majorEastAsia"/>
          <w:color w:val="365F91" w:themeColor="accent1" w:themeShade="BF"/>
          <w:sz w:val="22"/>
          <w:szCs w:val="22"/>
        </w:rPr>
        <w:footnoteRef/>
      </w:r>
      <w:r w:rsidRPr="00580377">
        <w:rPr>
          <w:rFonts w:ascii="Times New Roman" w:hAnsi="Times New Roman"/>
          <w:color w:val="365F91" w:themeColor="accent1" w:themeShade="BF"/>
          <w:sz w:val="22"/>
          <w:szCs w:val="22"/>
          <w:lang w:val="es-ES"/>
        </w:rPr>
        <w:t xml:space="preserve"> </w:t>
      </w:r>
      <w:r w:rsidRPr="00580377">
        <w:rPr>
          <w:rFonts w:ascii="Times New Roman" w:hAnsi="Times New Roman"/>
          <w:smallCaps/>
          <w:color w:val="365F91" w:themeColor="accent1" w:themeShade="BF"/>
          <w:sz w:val="22"/>
          <w:szCs w:val="22"/>
          <w:lang w:val="es-ES"/>
        </w:rPr>
        <w:t>Marienhoff</w:t>
      </w:r>
      <w:r w:rsidRPr="00580377">
        <w:rPr>
          <w:rFonts w:ascii="Times New Roman" w:hAnsi="Times New Roman"/>
          <w:color w:val="365F91" w:themeColor="accent1" w:themeShade="BF"/>
          <w:sz w:val="22"/>
          <w:szCs w:val="22"/>
          <w:lang w:val="es-ES"/>
        </w:rPr>
        <w:t>, op. cit., t. III-A., p. 610.</w:t>
      </w:r>
    </w:p>
  </w:footnote>
  <w:footnote w:id="11">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lang w:val="es-ES"/>
        </w:rPr>
        <w:t xml:space="preserve"> </w:t>
      </w:r>
      <w:r w:rsidRPr="00ED2A20">
        <w:rPr>
          <w:rFonts w:ascii="Times New Roman" w:hAnsi="Times New Roman"/>
          <w:smallCaps/>
          <w:color w:val="365F91" w:themeColor="accent1" w:themeShade="BF"/>
          <w:sz w:val="22"/>
          <w:szCs w:val="22"/>
          <w:lang w:val="es-ES"/>
        </w:rPr>
        <w:t>Dromi</w:t>
      </w:r>
      <w:r w:rsidRPr="00ED2A20">
        <w:rPr>
          <w:rFonts w:ascii="Times New Roman" w:hAnsi="Times New Roman"/>
          <w:color w:val="365F91" w:themeColor="accent1" w:themeShade="BF"/>
          <w:sz w:val="22"/>
          <w:szCs w:val="22"/>
          <w:lang w:val="es-ES"/>
        </w:rPr>
        <w:t xml:space="preserve">, </w:t>
      </w:r>
      <w:r w:rsidRPr="00ED2A20">
        <w:rPr>
          <w:rStyle w:val="Italicas"/>
          <w:rFonts w:ascii="Times New Roman" w:eastAsia="Calibri" w:hAnsi="Times New Roman"/>
          <w:color w:val="365F91" w:themeColor="accent1" w:themeShade="BF"/>
          <w:spacing w:val="-4"/>
          <w:kern w:val="2"/>
          <w:sz w:val="22"/>
          <w:szCs w:val="22"/>
          <w:lang w:val="es-EC"/>
        </w:rPr>
        <w:t>Ob. cit.</w:t>
      </w:r>
      <w:r w:rsidRPr="00ED2A20">
        <w:rPr>
          <w:rFonts w:ascii="Times New Roman" w:hAnsi="Times New Roman"/>
          <w:color w:val="365F91" w:themeColor="accent1" w:themeShade="BF"/>
          <w:sz w:val="22"/>
          <w:szCs w:val="22"/>
        </w:rPr>
        <w:t>, (2004), p. 578.</w:t>
      </w:r>
    </w:p>
  </w:footnote>
  <w:footnote w:id="12">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Ibídem,</w:t>
      </w:r>
      <w:r w:rsidRPr="00ED2A20">
        <w:rPr>
          <w:rFonts w:ascii="Times New Roman" w:hAnsi="Times New Roman"/>
          <w:i/>
          <w:color w:val="365F91" w:themeColor="accent1" w:themeShade="BF"/>
          <w:sz w:val="22"/>
          <w:szCs w:val="22"/>
        </w:rPr>
        <w:t xml:space="preserve"> </w:t>
      </w:r>
      <w:r w:rsidRPr="00ED2A20">
        <w:rPr>
          <w:rFonts w:ascii="Times New Roman" w:hAnsi="Times New Roman"/>
          <w:color w:val="365F91" w:themeColor="accent1" w:themeShade="BF"/>
          <w:sz w:val="22"/>
          <w:szCs w:val="22"/>
        </w:rPr>
        <w:t>p. 581.</w:t>
      </w:r>
    </w:p>
  </w:footnote>
  <w:footnote w:id="13">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00ED2A20">
        <w:rPr>
          <w:rFonts w:ascii="Times New Roman" w:hAnsi="Times New Roman"/>
          <w:color w:val="365F91" w:themeColor="accent1" w:themeShade="BF"/>
          <w:sz w:val="22"/>
          <w:szCs w:val="22"/>
        </w:rPr>
        <w:t xml:space="preserve"> Art</w:t>
      </w:r>
      <w:r w:rsidRPr="00ED2A20">
        <w:rPr>
          <w:rFonts w:ascii="Times New Roman" w:hAnsi="Times New Roman"/>
          <w:color w:val="365F91" w:themeColor="accent1" w:themeShade="BF"/>
          <w:sz w:val="22"/>
          <w:szCs w:val="22"/>
        </w:rPr>
        <w:t xml:space="preserve">s. 90 y 170 </w:t>
      </w:r>
      <w:r w:rsidRPr="00ED2A20">
        <w:rPr>
          <w:rStyle w:val="Italicas"/>
          <w:rFonts w:ascii="Times New Roman" w:eastAsia="Calibri" w:hAnsi="Times New Roman"/>
          <w:color w:val="365F91" w:themeColor="accent1" w:themeShade="BF"/>
          <w:spacing w:val="-4"/>
          <w:kern w:val="2"/>
          <w:sz w:val="22"/>
          <w:szCs w:val="22"/>
          <w:lang w:val="es-EC"/>
        </w:rPr>
        <w:t>ERJAFE</w:t>
      </w:r>
      <w:r w:rsidRPr="00ED2A20">
        <w:rPr>
          <w:rFonts w:ascii="Times New Roman" w:hAnsi="Times New Roman"/>
          <w:i/>
          <w:color w:val="365F91" w:themeColor="accent1" w:themeShade="BF"/>
          <w:sz w:val="22"/>
          <w:szCs w:val="22"/>
        </w:rPr>
        <w:t>.</w:t>
      </w:r>
    </w:p>
  </w:footnote>
  <w:footnote w:id="14">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Citado por </w:t>
      </w:r>
      <w:r w:rsidRPr="00ED2A20">
        <w:rPr>
          <w:rFonts w:ascii="Times New Roman" w:hAnsi="Times New Roman"/>
          <w:bCs/>
          <w:smallCaps/>
          <w:color w:val="365F91" w:themeColor="accent1" w:themeShade="BF"/>
          <w:sz w:val="22"/>
          <w:szCs w:val="22"/>
        </w:rPr>
        <w:t>René Bustamante Muñoz</w:t>
      </w:r>
      <w:r w:rsidRPr="00ED2A20">
        <w:rPr>
          <w:rFonts w:ascii="Times New Roman" w:hAnsi="Times New Roman"/>
          <w:color w:val="365F91" w:themeColor="accent1" w:themeShade="BF"/>
          <w:sz w:val="22"/>
          <w:szCs w:val="22"/>
        </w:rPr>
        <w:t xml:space="preserve"> en </w:t>
      </w:r>
      <w:r w:rsidRPr="00ED2A20">
        <w:rPr>
          <w:rStyle w:val="Italicas"/>
          <w:rFonts w:ascii="Times New Roman" w:eastAsia="Calibri" w:hAnsi="Times New Roman"/>
          <w:color w:val="365F91" w:themeColor="accent1" w:themeShade="BF"/>
          <w:spacing w:val="-4"/>
          <w:kern w:val="2"/>
          <w:sz w:val="22"/>
          <w:szCs w:val="22"/>
          <w:lang w:val="es-EC"/>
        </w:rPr>
        <w:t>Código Civil, Libro cuarto, De las obligaciones y los contr</w:t>
      </w:r>
      <w:r w:rsidRPr="00ED2A20">
        <w:rPr>
          <w:rStyle w:val="Italicas"/>
          <w:rFonts w:ascii="Times New Roman" w:eastAsia="Calibri" w:hAnsi="Times New Roman"/>
          <w:color w:val="365F91" w:themeColor="accent1" w:themeShade="BF"/>
          <w:spacing w:val="-4"/>
          <w:kern w:val="2"/>
          <w:sz w:val="22"/>
          <w:szCs w:val="22"/>
          <w:lang w:val="es-EC"/>
        </w:rPr>
        <w:t>a</w:t>
      </w:r>
      <w:r w:rsidRPr="00ED2A20">
        <w:rPr>
          <w:rStyle w:val="Italicas"/>
          <w:rFonts w:ascii="Times New Roman" w:eastAsia="Calibri" w:hAnsi="Times New Roman"/>
          <w:color w:val="365F91" w:themeColor="accent1" w:themeShade="BF"/>
          <w:spacing w:val="-4"/>
          <w:kern w:val="2"/>
          <w:sz w:val="22"/>
          <w:szCs w:val="22"/>
          <w:lang w:val="es-EC"/>
        </w:rPr>
        <w:t>tos, Primera parte, con la Jurisprudencia de la Excelentísima Corte Suprema y Concordancias</w:t>
      </w:r>
      <w:r w:rsidRPr="00ED2A20">
        <w:rPr>
          <w:rFonts w:ascii="Times New Roman" w:hAnsi="Times New Roman"/>
          <w:color w:val="365F91" w:themeColor="accent1" w:themeShade="BF"/>
          <w:sz w:val="22"/>
          <w:szCs w:val="22"/>
        </w:rPr>
        <w:t xml:space="preserve">, La </w:t>
      </w:r>
      <w:r w:rsidR="00816C16">
        <w:rPr>
          <w:rFonts w:ascii="Times New Roman" w:hAnsi="Times New Roman"/>
          <w:color w:val="365F91" w:themeColor="accent1" w:themeShade="BF"/>
          <w:sz w:val="22"/>
          <w:szCs w:val="22"/>
        </w:rPr>
        <w:t>P</w:t>
      </w:r>
      <w:r w:rsidRPr="00ED2A20">
        <w:rPr>
          <w:rFonts w:ascii="Times New Roman" w:hAnsi="Times New Roman"/>
          <w:color w:val="365F91" w:themeColor="accent1" w:themeShade="BF"/>
          <w:sz w:val="22"/>
          <w:szCs w:val="22"/>
        </w:rPr>
        <w:t xml:space="preserve">rensa </w:t>
      </w:r>
      <w:r w:rsidR="00816C16">
        <w:rPr>
          <w:rFonts w:ascii="Times New Roman" w:hAnsi="Times New Roman"/>
          <w:color w:val="365F91" w:themeColor="accent1" w:themeShade="BF"/>
          <w:sz w:val="22"/>
          <w:szCs w:val="22"/>
        </w:rPr>
        <w:t>C</w:t>
      </w:r>
      <w:r w:rsidRPr="00ED2A20">
        <w:rPr>
          <w:rFonts w:ascii="Times New Roman" w:hAnsi="Times New Roman"/>
          <w:color w:val="365F91" w:themeColor="accent1" w:themeShade="BF"/>
          <w:sz w:val="22"/>
          <w:szCs w:val="22"/>
        </w:rPr>
        <w:t>atólica, Quito, 1959.</w:t>
      </w:r>
    </w:p>
  </w:footnote>
  <w:footnote w:id="15">
    <w:p w:rsidR="009916EF" w:rsidRPr="00ED2A20" w:rsidRDefault="009916EF" w:rsidP="009916EF">
      <w:pPr>
        <w:pStyle w:val="Textonotapiedoct"/>
        <w:rPr>
          <w:rFonts w:ascii="Times New Roman" w:hAnsi="Times New Roman"/>
          <w:color w:val="365F91" w:themeColor="accent1" w:themeShade="BF"/>
          <w:sz w:val="22"/>
          <w:szCs w:val="22"/>
        </w:rPr>
      </w:pPr>
      <w:r w:rsidRPr="00ED2A20">
        <w:rPr>
          <w:rStyle w:val="FootnoteReference"/>
          <w:rFonts w:eastAsiaTheme="majorEastAsia"/>
          <w:color w:val="365F91" w:themeColor="accent1" w:themeShade="BF"/>
          <w:sz w:val="22"/>
          <w:szCs w:val="22"/>
        </w:rPr>
        <w:footnoteRef/>
      </w:r>
      <w:r w:rsidRPr="00ED2A20">
        <w:rPr>
          <w:rFonts w:ascii="Times New Roman" w:hAnsi="Times New Roman"/>
          <w:color w:val="365F91" w:themeColor="accent1" w:themeShade="BF"/>
          <w:sz w:val="22"/>
          <w:szCs w:val="22"/>
        </w:rPr>
        <w:t xml:space="preserve"> </w:t>
      </w:r>
      <w:r w:rsidRPr="00ED2A20">
        <w:rPr>
          <w:rFonts w:ascii="Times New Roman" w:hAnsi="Times New Roman"/>
          <w:bCs/>
          <w:smallCaps/>
          <w:color w:val="365F91" w:themeColor="accent1" w:themeShade="BF"/>
          <w:sz w:val="22"/>
          <w:szCs w:val="22"/>
        </w:rPr>
        <w:t>Cremades, Bernardo</w:t>
      </w:r>
      <w:r w:rsidRPr="00ED2A20">
        <w:rPr>
          <w:rFonts w:ascii="Times New Roman" w:hAnsi="Times New Roman"/>
          <w:color w:val="365F91" w:themeColor="accent1" w:themeShade="BF"/>
          <w:sz w:val="22"/>
          <w:szCs w:val="22"/>
        </w:rPr>
        <w:t xml:space="preserve">, “Arbitraje Internacional: del arbitraje comercial internacional al arbitraje de protección de inversiones”, en </w:t>
      </w:r>
      <w:r w:rsidRPr="00ED2A20">
        <w:rPr>
          <w:rFonts w:ascii="Times New Roman" w:hAnsi="Times New Roman"/>
          <w:bCs/>
          <w:smallCaps/>
          <w:color w:val="365F91" w:themeColor="accent1" w:themeShade="BF"/>
          <w:sz w:val="22"/>
          <w:szCs w:val="22"/>
        </w:rPr>
        <w:t>Picand</w:t>
      </w:r>
      <w:r w:rsidRPr="00ED2A20">
        <w:rPr>
          <w:rFonts w:ascii="Times New Roman" w:hAnsi="Times New Roman"/>
          <w:color w:val="365F91" w:themeColor="accent1" w:themeShade="BF"/>
          <w:sz w:val="22"/>
          <w:szCs w:val="22"/>
        </w:rPr>
        <w:t xml:space="preserve"> (Coord.), op. cit., p. 548. Cita las legislaciones suiza, alemana y austriaca.</w:t>
      </w:r>
    </w:p>
  </w:footnote>
  <w:footnote w:id="16">
    <w:p w:rsidR="00A119B9" w:rsidRPr="00ED2A20" w:rsidRDefault="00A119B9" w:rsidP="00A119B9">
      <w:pPr>
        <w:rPr>
          <w:rFonts w:ascii="Times New Roman" w:hAnsi="Times New Roman" w:cs="Times New Roman"/>
        </w:rPr>
      </w:pPr>
      <w:r w:rsidRPr="00ED2A20">
        <w:rPr>
          <w:rStyle w:val="FootnoteReference"/>
          <w:sz w:val="22"/>
        </w:rPr>
        <w:footnoteRef/>
      </w:r>
      <w:r w:rsidRPr="00ED2A20">
        <w:rPr>
          <w:rFonts w:ascii="Times New Roman" w:hAnsi="Times New Roman" w:cs="Times New Roman"/>
        </w:rPr>
        <w:t xml:space="preserve"> Art. 71, </w:t>
      </w:r>
      <w:r w:rsidRPr="00ED2A20">
        <w:rPr>
          <w:rFonts w:ascii="Times New Roman" w:hAnsi="Times New Roman" w:cs="Times New Roman"/>
          <w:spacing w:val="-4"/>
          <w:kern w:val="2"/>
        </w:rPr>
        <w:t>LOSNCP</w:t>
      </w:r>
      <w:r w:rsidRPr="00ED2A20">
        <w:rPr>
          <w:rFonts w:ascii="Times New Roman" w:hAnsi="Times New Roman" w:cs="Times New Roman"/>
        </w:rPr>
        <w:t>.</w:t>
      </w:r>
    </w:p>
  </w:footnote>
  <w:footnote w:id="17">
    <w:p w:rsidR="00A119B9" w:rsidRPr="00ED2A20" w:rsidRDefault="00A119B9" w:rsidP="00A119B9">
      <w:pPr>
        <w:rPr>
          <w:rFonts w:ascii="Times New Roman" w:hAnsi="Times New Roman" w:cs="Times New Roman"/>
          <w:i/>
        </w:rPr>
      </w:pPr>
      <w:r w:rsidRPr="00ED2A20">
        <w:rPr>
          <w:rStyle w:val="FootnoteReference"/>
          <w:sz w:val="22"/>
        </w:rPr>
        <w:footnoteRef/>
      </w:r>
      <w:r w:rsidRPr="00ED2A20">
        <w:rPr>
          <w:rFonts w:ascii="Times New Roman" w:hAnsi="Times New Roman" w:cs="Times New Roman"/>
        </w:rPr>
        <w:t xml:space="preserve"> Art. 95, inciso 2, </w:t>
      </w:r>
      <w:r w:rsidRPr="00ED2A20">
        <w:rPr>
          <w:rFonts w:ascii="Times New Roman" w:hAnsi="Times New Roman" w:cs="Times New Roman"/>
          <w:spacing w:val="-4"/>
          <w:kern w:val="2"/>
        </w:rPr>
        <w:t>LOSNCP</w:t>
      </w:r>
      <w:r w:rsidRPr="00ED2A20">
        <w:rPr>
          <w:rFonts w:ascii="Times New Roman" w:hAnsi="Times New Roman" w:cs="Times New Roman"/>
          <w:i/>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9916EF"/>
    <w:rsid w:val="00053920"/>
    <w:rsid w:val="000579B2"/>
    <w:rsid w:val="000905B6"/>
    <w:rsid w:val="000936FC"/>
    <w:rsid w:val="00097143"/>
    <w:rsid w:val="00155B1F"/>
    <w:rsid w:val="001E1048"/>
    <w:rsid w:val="00257622"/>
    <w:rsid w:val="002904C4"/>
    <w:rsid w:val="003B7C2D"/>
    <w:rsid w:val="00486E8C"/>
    <w:rsid w:val="005801B7"/>
    <w:rsid w:val="00580377"/>
    <w:rsid w:val="00816C16"/>
    <w:rsid w:val="00871F00"/>
    <w:rsid w:val="008D34F4"/>
    <w:rsid w:val="00913C75"/>
    <w:rsid w:val="00937B56"/>
    <w:rsid w:val="00940530"/>
    <w:rsid w:val="009478B7"/>
    <w:rsid w:val="00967A10"/>
    <w:rsid w:val="00971B86"/>
    <w:rsid w:val="009916EF"/>
    <w:rsid w:val="009C0B6E"/>
    <w:rsid w:val="00A119B9"/>
    <w:rsid w:val="00D72F19"/>
    <w:rsid w:val="00D827B3"/>
    <w:rsid w:val="00DC54E5"/>
    <w:rsid w:val="00DF1B48"/>
    <w:rsid w:val="00E47274"/>
    <w:rsid w:val="00E71D5D"/>
    <w:rsid w:val="00ED2A20"/>
    <w:rsid w:val="00F75CEE"/>
    <w:rsid w:val="00F84D0A"/>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6E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257622"/>
    <w:pPr>
      <w:keepNext/>
      <w:keepLines/>
      <w:outlineLvl w:val="0"/>
    </w:pPr>
    <w:rPr>
      <w:rFonts w:ascii="News Gothic MT" w:eastAsia="Calibri" w:hAnsi="News Gothic MT" w:cstheme="majorBidi"/>
      <w:b/>
      <w:bCs/>
      <w:caps/>
      <w:sz w:val="28"/>
      <w:szCs w:val="28"/>
    </w:rPr>
  </w:style>
  <w:style w:type="paragraph" w:styleId="Heading2">
    <w:name w:val="heading 2"/>
    <w:basedOn w:val="Normal"/>
    <w:next w:val="Normal"/>
    <w:link w:val="Heading2Char"/>
    <w:autoRedefine/>
    <w:uiPriority w:val="9"/>
    <w:unhideWhenUsed/>
    <w:qFormat/>
    <w:rsid w:val="00580377"/>
    <w:pPr>
      <w:keepNext/>
      <w:keepLines/>
      <w:outlineLvl w:val="1"/>
    </w:pPr>
    <w:rPr>
      <w:rFonts w:ascii="Times New Roman" w:eastAsiaTheme="majorEastAsia" w:hAnsi="Times New Roman" w:cs="Times New Roman"/>
      <w:b/>
      <w:bCs/>
      <w:sz w:val="28"/>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80377"/>
    <w:rPr>
      <w:rFonts w:ascii="Times New Roman" w:eastAsiaTheme="majorEastAsia" w:hAnsi="Times New Roman" w:cs="Times New Roman"/>
      <w:b/>
      <w:bCs/>
      <w:color w:val="365F91" w:themeColor="accent1" w:themeShade="BF"/>
      <w:sz w:val="28"/>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257622"/>
    <w:rPr>
      <w:rFonts w:ascii="News Gothic MT" w:eastAsia="Calibri" w:hAnsi="News Gothic MT" w:cstheme="majorBidi"/>
      <w:b/>
      <w:bCs/>
      <w:caps/>
      <w:color w:val="365F91" w:themeColor="accent1" w:themeShade="BF"/>
      <w:sz w:val="28"/>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customStyle="1" w:styleId="TextonotapiedoctCar">
    <w:name w:val="Texto nota pie doct Car"/>
    <w:basedOn w:val="DefaultParagraphFont"/>
    <w:link w:val="Textonotapiedoct"/>
    <w:locked/>
    <w:rsid w:val="009916EF"/>
    <w:rPr>
      <w:rFonts w:ascii="Garamond" w:eastAsia="Times New Roman" w:hAnsi="Garamond" w:cs="Times New Roman"/>
      <w:sz w:val="16"/>
      <w:szCs w:val="20"/>
      <w:lang w:val="es-ES_tradnl" w:eastAsia="es-ES"/>
    </w:rPr>
  </w:style>
  <w:style w:type="paragraph" w:customStyle="1" w:styleId="Textonotapiedoct">
    <w:name w:val="Texto nota pie doct"/>
    <w:basedOn w:val="Normal"/>
    <w:link w:val="TextonotapiedoctCar"/>
    <w:autoRedefine/>
    <w:qFormat/>
    <w:rsid w:val="009916EF"/>
    <w:pPr>
      <w:jc w:val="both"/>
    </w:pPr>
    <w:rPr>
      <w:rFonts w:ascii="Garamond" w:eastAsia="Times New Roman" w:hAnsi="Garamond" w:cs="Times New Roman"/>
      <w:color w:val="auto"/>
      <w:sz w:val="16"/>
      <w:szCs w:val="20"/>
      <w:lang w:val="es-ES_tradnl" w:eastAsia="es-ES"/>
    </w:rPr>
  </w:style>
  <w:style w:type="character" w:styleId="FootnoteReference">
    <w:name w:val="footnote reference"/>
    <w:basedOn w:val="DefaultParagraphFont"/>
    <w:uiPriority w:val="99"/>
    <w:semiHidden/>
    <w:unhideWhenUsed/>
    <w:rsid w:val="009916EF"/>
    <w:rPr>
      <w:rFonts w:ascii="Times New Roman" w:hAnsi="Times New Roman" w:cs="Times New Roman" w:hint="default"/>
      <w:b/>
      <w:bCs w:val="0"/>
      <w:sz w:val="16"/>
      <w:vertAlign w:val="superscript"/>
    </w:rPr>
  </w:style>
  <w:style w:type="character" w:customStyle="1" w:styleId="Italicas">
    <w:name w:val="Italicas"/>
    <w:basedOn w:val="DefaultParagraphFont"/>
    <w:rsid w:val="009916EF"/>
    <w:rPr>
      <w:i/>
      <w:iCs w:val="0"/>
      <w:color w:val="FF6600"/>
      <w:sz w:val="24"/>
      <w:szCs w:val="24"/>
    </w:rPr>
  </w:style>
  <w:style w:type="paragraph" w:styleId="Header">
    <w:name w:val="header"/>
    <w:basedOn w:val="Normal"/>
    <w:link w:val="HeaderChar"/>
    <w:uiPriority w:val="99"/>
    <w:semiHidden/>
    <w:unhideWhenUsed/>
    <w:rsid w:val="009916EF"/>
    <w:pPr>
      <w:tabs>
        <w:tab w:val="center" w:pos="4252"/>
        <w:tab w:val="right" w:pos="8504"/>
      </w:tabs>
    </w:pPr>
  </w:style>
  <w:style w:type="character" w:customStyle="1" w:styleId="HeaderChar">
    <w:name w:val="Header Char"/>
    <w:basedOn w:val="DefaultParagraphFont"/>
    <w:link w:val="Header"/>
    <w:uiPriority w:val="99"/>
    <w:semiHidden/>
    <w:rsid w:val="009916EF"/>
    <w:rPr>
      <w:rFonts w:ascii="Helvetica" w:hAnsi="Helvetica"/>
      <w:color w:val="365F91" w:themeColor="accent1" w:themeShade="BF"/>
    </w:rPr>
  </w:style>
  <w:style w:type="paragraph" w:styleId="Footer">
    <w:name w:val="footer"/>
    <w:basedOn w:val="Normal"/>
    <w:link w:val="FooterChar"/>
    <w:uiPriority w:val="99"/>
    <w:unhideWhenUsed/>
    <w:rsid w:val="009916EF"/>
    <w:pPr>
      <w:tabs>
        <w:tab w:val="center" w:pos="4252"/>
        <w:tab w:val="right" w:pos="8504"/>
      </w:tabs>
    </w:pPr>
  </w:style>
  <w:style w:type="character" w:customStyle="1" w:styleId="FooterChar">
    <w:name w:val="Footer Char"/>
    <w:basedOn w:val="DefaultParagraphFont"/>
    <w:link w:val="Footer"/>
    <w:uiPriority w:val="99"/>
    <w:rsid w:val="009916EF"/>
    <w:rPr>
      <w:rFonts w:ascii="Helvetica" w:hAnsi="Helvetica"/>
      <w:color w:val="365F91" w:themeColor="accent1" w:themeShade="B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407EA-06B0-45C4-AC6A-D7DEF15B4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2712</Words>
  <Characters>14922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dc:creator>
  <cp:keywords/>
  <dc:description/>
  <cp:lastModifiedBy> ep</cp:lastModifiedBy>
  <cp:revision>2</cp:revision>
  <dcterms:created xsi:type="dcterms:W3CDTF">2010-02-03T14:34:00Z</dcterms:created>
  <dcterms:modified xsi:type="dcterms:W3CDTF">2010-02-03T14:34:00Z</dcterms:modified>
</cp:coreProperties>
</file>